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项目名称：重庆医科大学附属康复医院住院部1-4楼公共卫生间改造项目</w:t>
      </w:r>
    </w:p>
    <w:p>
      <w:pPr>
        <w:tabs>
          <w:tab w:val="left" w:pos="1695"/>
          <w:tab w:val="left" w:pos="3370"/>
          <w:tab w:val="left" w:pos="5555"/>
        </w:tabs>
        <w:autoSpaceDE w:val="0"/>
        <w:autoSpaceDN w:val="0"/>
        <w:adjustRightInd w:val="0"/>
        <w:snapToGrid w:val="0"/>
        <w:spacing w:line="360" w:lineRule="auto"/>
        <w:rPr>
          <w:rFonts w:hint="default" w:ascii="宋体" w:hAnsi="宋体" w:eastAsia="宋体" w:cs="宋体"/>
          <w:b/>
          <w:color w:val="auto"/>
          <w:kern w:val="0"/>
          <w:sz w:val="30"/>
          <w:szCs w:val="30"/>
          <w:highlight w:val="none"/>
          <w:lang w:val="en-US" w:eastAsia="zh-CN"/>
        </w:rPr>
      </w:pPr>
      <w:r>
        <w:rPr>
          <w:rFonts w:hint="eastAsia" w:ascii="宋体" w:hAnsi="宋体" w:cs="宋体"/>
          <w:b/>
          <w:color w:val="auto"/>
          <w:kern w:val="0"/>
          <w:sz w:val="30"/>
          <w:szCs w:val="30"/>
          <w:highlight w:val="none"/>
        </w:rPr>
        <w:t>项目编号:</w:t>
      </w:r>
      <w:r>
        <w:rPr>
          <w:rFonts w:hint="eastAsia" w:ascii="宋体" w:hAnsi="宋体" w:cs="宋体"/>
          <w:b/>
          <w:color w:val="auto"/>
          <w:kern w:val="0"/>
          <w:sz w:val="30"/>
          <w:szCs w:val="30"/>
          <w:highlight w:val="none"/>
          <w:lang w:val="en-US" w:eastAsia="zh-CN"/>
        </w:rPr>
        <w:t>XHTC-GC-2020-0250</w:t>
      </w:r>
    </w:p>
    <w:p>
      <w:pPr>
        <w:autoSpaceDE w:val="0"/>
        <w:autoSpaceDN w:val="0"/>
        <w:adjustRightInd w:val="0"/>
        <w:snapToGrid w:val="0"/>
        <w:spacing w:line="360" w:lineRule="auto"/>
        <w:ind w:firstLine="157" w:firstLineChars="49"/>
        <w:jc w:val="center"/>
        <w:rPr>
          <w:rFonts w:ascii="宋体" w:hAnsi="宋体" w:cs="宋体"/>
          <w:b/>
          <w:color w:val="auto"/>
          <w:kern w:val="0"/>
          <w:sz w:val="32"/>
          <w:szCs w:val="32"/>
          <w:highlight w:val="none"/>
        </w:rPr>
      </w:pPr>
    </w:p>
    <w:p>
      <w:pPr>
        <w:autoSpaceDE w:val="0"/>
        <w:autoSpaceDN w:val="0"/>
        <w:adjustRightInd w:val="0"/>
        <w:snapToGrid w:val="0"/>
        <w:spacing w:line="360" w:lineRule="auto"/>
        <w:jc w:val="center"/>
        <w:rPr>
          <w:rFonts w:ascii="宋体" w:hAnsi="宋体" w:cs="宋体"/>
          <w:b/>
          <w:color w:val="auto"/>
          <w:kern w:val="0"/>
          <w:sz w:val="84"/>
          <w:szCs w:val="44"/>
          <w:highlight w:val="none"/>
        </w:rPr>
      </w:pPr>
    </w:p>
    <w:p>
      <w:pPr>
        <w:autoSpaceDE w:val="0"/>
        <w:autoSpaceDN w:val="0"/>
        <w:adjustRightInd w:val="0"/>
        <w:snapToGrid w:val="0"/>
        <w:spacing w:line="360" w:lineRule="auto"/>
        <w:jc w:val="center"/>
        <w:rPr>
          <w:rFonts w:ascii="宋体" w:hAnsi="宋体" w:cs="宋体"/>
          <w:b/>
          <w:color w:val="auto"/>
          <w:kern w:val="0"/>
          <w:sz w:val="28"/>
          <w:szCs w:val="28"/>
          <w:highlight w:val="none"/>
        </w:rPr>
      </w:pPr>
    </w:p>
    <w:p>
      <w:pPr>
        <w:autoSpaceDE w:val="0"/>
        <w:autoSpaceDN w:val="0"/>
        <w:adjustRightInd w:val="0"/>
        <w:snapToGrid w:val="0"/>
        <w:spacing w:line="360" w:lineRule="auto"/>
        <w:jc w:val="center"/>
        <w:rPr>
          <w:rFonts w:ascii="宋体" w:hAnsi="宋体" w:cs="宋体"/>
          <w:b/>
          <w:color w:val="auto"/>
          <w:kern w:val="0"/>
          <w:sz w:val="28"/>
          <w:szCs w:val="28"/>
          <w:highlight w:val="none"/>
        </w:rPr>
      </w:pPr>
    </w:p>
    <w:p>
      <w:pPr>
        <w:autoSpaceDE w:val="0"/>
        <w:autoSpaceDN w:val="0"/>
        <w:adjustRightInd w:val="0"/>
        <w:snapToGrid w:val="0"/>
        <w:spacing w:line="360" w:lineRule="auto"/>
        <w:jc w:val="center"/>
        <w:rPr>
          <w:rFonts w:ascii="宋体" w:hAnsi="宋体" w:cs="宋体"/>
          <w:b/>
          <w:color w:val="auto"/>
          <w:kern w:val="0"/>
          <w:sz w:val="84"/>
          <w:szCs w:val="44"/>
          <w:highlight w:val="none"/>
        </w:rPr>
      </w:pPr>
      <w:r>
        <w:rPr>
          <w:rFonts w:hint="eastAsia" w:ascii="宋体" w:hAnsi="宋体" w:cs="宋体"/>
          <w:b/>
          <w:color w:val="auto"/>
          <w:kern w:val="0"/>
          <w:sz w:val="84"/>
          <w:szCs w:val="44"/>
          <w:highlight w:val="none"/>
        </w:rPr>
        <w:t>竞争性比选文件</w:t>
      </w:r>
    </w:p>
    <w:p>
      <w:pPr>
        <w:rPr>
          <w:rFonts w:ascii="宋体" w:hAnsi="宋体" w:cs="宋体"/>
          <w:b/>
          <w:color w:val="auto"/>
          <w:w w:val="99"/>
          <w:kern w:val="0"/>
          <w:sz w:val="36"/>
          <w:szCs w:val="28"/>
          <w:highlight w:val="none"/>
        </w:rPr>
      </w:pPr>
    </w:p>
    <w:p>
      <w:pPr>
        <w:rPr>
          <w:rFonts w:ascii="宋体" w:hAnsi="宋体" w:cs="宋体"/>
          <w:b/>
          <w:color w:val="auto"/>
          <w:w w:val="99"/>
          <w:kern w:val="0"/>
          <w:sz w:val="36"/>
          <w:szCs w:val="28"/>
          <w:highlight w:val="none"/>
        </w:rPr>
      </w:pPr>
    </w:p>
    <w:p>
      <w:pPr>
        <w:pStyle w:val="28"/>
        <w:ind w:firstLine="359"/>
        <w:rPr>
          <w:rFonts w:ascii="宋体" w:hAnsi="宋体" w:cs="宋体"/>
          <w:b/>
          <w:color w:val="auto"/>
          <w:w w:val="99"/>
          <w:kern w:val="0"/>
          <w:sz w:val="36"/>
          <w:szCs w:val="28"/>
          <w:highlight w:val="none"/>
        </w:rPr>
      </w:pPr>
    </w:p>
    <w:p>
      <w:pPr>
        <w:pStyle w:val="28"/>
        <w:ind w:firstLine="359"/>
        <w:rPr>
          <w:rFonts w:ascii="宋体" w:hAnsi="宋体" w:cs="宋体"/>
          <w:b/>
          <w:color w:val="auto"/>
          <w:w w:val="99"/>
          <w:kern w:val="0"/>
          <w:sz w:val="36"/>
          <w:szCs w:val="28"/>
          <w:highlight w:val="none"/>
        </w:rPr>
      </w:pPr>
    </w:p>
    <w:p>
      <w:pPr>
        <w:tabs>
          <w:tab w:val="left" w:pos="6219"/>
        </w:tabs>
        <w:autoSpaceDE w:val="0"/>
        <w:autoSpaceDN w:val="0"/>
        <w:adjustRightInd w:val="0"/>
        <w:snapToGrid w:val="0"/>
        <w:spacing w:line="1000" w:lineRule="exact"/>
        <w:ind w:firstLine="1105" w:firstLineChars="393"/>
        <w:rPr>
          <w:rFonts w:ascii="宋体" w:hAnsi="宋体" w:cs="宋体"/>
          <w:b/>
          <w:color w:val="auto"/>
          <w:kern w:val="0"/>
          <w:sz w:val="28"/>
          <w:highlight w:val="none"/>
        </w:rPr>
      </w:pPr>
    </w:p>
    <w:p>
      <w:pPr>
        <w:autoSpaceDE w:val="0"/>
        <w:autoSpaceDN w:val="0"/>
        <w:adjustRightInd w:val="0"/>
        <w:snapToGrid w:val="0"/>
        <w:rPr>
          <w:rFonts w:ascii="宋体" w:hAnsi="宋体" w:cs="宋体"/>
          <w:b/>
          <w:color w:val="auto"/>
          <w:spacing w:val="20"/>
          <w:sz w:val="28"/>
          <w:szCs w:val="28"/>
          <w:highlight w:val="none"/>
          <w:u w:val="single"/>
        </w:rPr>
      </w:pPr>
      <w:r>
        <w:rPr>
          <w:rFonts w:hint="eastAsia" w:ascii="宋体" w:hAnsi="宋体" w:cs="宋体"/>
          <w:b/>
          <w:color w:val="auto"/>
          <w:sz w:val="28"/>
          <w:szCs w:val="28"/>
          <w:highlight w:val="none"/>
        </w:rPr>
        <w:t xml:space="preserve">     比    选  人：</w:t>
      </w:r>
      <w:r>
        <w:rPr>
          <w:rFonts w:hint="eastAsia" w:ascii="宋体" w:hAnsi="宋体" w:cs="宋体"/>
          <w:b/>
          <w:color w:val="auto"/>
          <w:sz w:val="28"/>
          <w:szCs w:val="28"/>
          <w:highlight w:val="none"/>
          <w:u w:val="single"/>
        </w:rPr>
        <w:t>重庆医科大学附属康复医院</w:t>
      </w:r>
      <w:r>
        <w:rPr>
          <w:rFonts w:hint="eastAsia" w:ascii="宋体" w:hAnsi="宋体" w:cs="宋体"/>
          <w:b/>
          <w:color w:val="auto"/>
          <w:sz w:val="28"/>
          <w:szCs w:val="28"/>
          <w:highlight w:val="none"/>
        </w:rPr>
        <w:t>（盖单位公章）</w:t>
      </w:r>
    </w:p>
    <w:p>
      <w:pPr>
        <w:autoSpaceDE w:val="0"/>
        <w:autoSpaceDN w:val="0"/>
        <w:adjustRightInd w:val="0"/>
        <w:snapToGrid w:val="0"/>
        <w:spacing w:line="360" w:lineRule="auto"/>
        <w:rPr>
          <w:rFonts w:ascii="宋体" w:hAnsi="宋体" w:cs="宋体"/>
          <w:b/>
          <w:color w:val="auto"/>
          <w:sz w:val="28"/>
          <w:szCs w:val="28"/>
          <w:highlight w:val="none"/>
        </w:rPr>
      </w:pPr>
    </w:p>
    <w:p>
      <w:pPr>
        <w:autoSpaceDE w:val="0"/>
        <w:autoSpaceDN w:val="0"/>
        <w:adjustRightInd w:val="0"/>
        <w:snapToGrid w:val="0"/>
        <w:rPr>
          <w:rFonts w:ascii="宋体" w:hAnsi="宋体" w:cs="宋体"/>
          <w:b/>
          <w:color w:val="auto"/>
          <w:sz w:val="28"/>
          <w:szCs w:val="28"/>
          <w:highlight w:val="none"/>
          <w:u w:val="single"/>
        </w:rPr>
      </w:pPr>
      <w:r>
        <w:rPr>
          <w:rFonts w:hint="eastAsia" w:ascii="宋体" w:hAnsi="宋体" w:cs="宋体"/>
          <w:b/>
          <w:color w:val="auto"/>
          <w:sz w:val="28"/>
          <w:szCs w:val="28"/>
          <w:highlight w:val="none"/>
        </w:rPr>
        <w:t xml:space="preserve">     比选代理机构：</w:t>
      </w:r>
      <w:r>
        <w:rPr>
          <w:rFonts w:hint="eastAsia" w:ascii="宋体" w:hAnsi="宋体" w:cs="宋体"/>
          <w:b/>
          <w:color w:val="auto"/>
          <w:sz w:val="28"/>
          <w:szCs w:val="28"/>
          <w:highlight w:val="none"/>
          <w:u w:val="single"/>
        </w:rPr>
        <w:t>新华招标有限公司重庆分公司</w:t>
      </w:r>
      <w:r>
        <w:rPr>
          <w:rFonts w:hint="eastAsia" w:ascii="宋体" w:hAnsi="宋体" w:cs="宋体"/>
          <w:b/>
          <w:color w:val="auto"/>
          <w:sz w:val="28"/>
          <w:szCs w:val="28"/>
          <w:highlight w:val="none"/>
        </w:rPr>
        <w:t>（盖单位公章）</w:t>
      </w:r>
    </w:p>
    <w:p>
      <w:pPr>
        <w:autoSpaceDE w:val="0"/>
        <w:autoSpaceDN w:val="0"/>
        <w:adjustRightInd w:val="0"/>
        <w:snapToGrid w:val="0"/>
        <w:spacing w:line="360" w:lineRule="auto"/>
        <w:rPr>
          <w:rFonts w:ascii="宋体" w:hAnsi="宋体" w:cs="宋体"/>
          <w:b/>
          <w:color w:val="auto"/>
          <w:sz w:val="28"/>
          <w:szCs w:val="28"/>
          <w:highlight w:val="none"/>
        </w:rPr>
      </w:pPr>
    </w:p>
    <w:p>
      <w:pPr>
        <w:spacing w:line="480" w:lineRule="auto"/>
        <w:rPr>
          <w:rFonts w:ascii="宋体" w:hAnsi="宋体" w:cs="宋体"/>
          <w:color w:val="auto"/>
          <w:sz w:val="30"/>
          <w:szCs w:val="30"/>
          <w:highlight w:val="none"/>
        </w:rPr>
      </w:pPr>
    </w:p>
    <w:p>
      <w:pPr>
        <w:rPr>
          <w:rFonts w:ascii="宋体" w:hAnsi="宋体" w:cs="宋体"/>
          <w:b/>
          <w:color w:val="auto"/>
          <w:sz w:val="28"/>
          <w:szCs w:val="28"/>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二O二0年七月</w:t>
      </w:r>
    </w:p>
    <w:p>
      <w:pPr>
        <w:widowControl/>
        <w:snapToGrid w:val="0"/>
        <w:spacing w:line="360" w:lineRule="auto"/>
        <w:jc w:val="center"/>
        <w:rPr>
          <w:rFonts w:ascii="宋体" w:hAnsi="宋体" w:cs="宋体"/>
          <w:b/>
          <w:color w:val="auto"/>
          <w:kern w:val="0"/>
          <w:sz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091" w:bottom="851" w:left="1134" w:header="851" w:footer="992" w:gutter="227"/>
          <w:pgNumType w:start="1"/>
          <w:cols w:space="720" w:num="1"/>
          <w:titlePg/>
          <w:docGrid w:type="lines" w:linePitch="312" w:charSpace="0"/>
        </w:sectPr>
      </w:pPr>
    </w:p>
    <w:p>
      <w:pPr>
        <w:widowControl/>
        <w:snapToGrid w:val="0"/>
        <w:spacing w:line="360" w:lineRule="auto"/>
        <w:jc w:val="center"/>
        <w:rPr>
          <w:rFonts w:ascii="宋体" w:hAnsi="宋体" w:cs="宋体"/>
          <w:b/>
          <w:color w:val="auto"/>
          <w:kern w:val="0"/>
          <w:sz w:val="30"/>
          <w:highlight w:val="none"/>
        </w:rPr>
      </w:pPr>
      <w:r>
        <w:rPr>
          <w:rFonts w:hint="eastAsia" w:ascii="宋体" w:hAnsi="宋体" w:cs="宋体"/>
          <w:b/>
          <w:color w:val="auto"/>
          <w:kern w:val="0"/>
          <w:sz w:val="30"/>
          <w:highlight w:val="none"/>
        </w:rPr>
        <w:t>目  录</w:t>
      </w:r>
    </w:p>
    <w:p>
      <w:pPr>
        <w:widowControl/>
        <w:snapToGrid w:val="0"/>
        <w:spacing w:line="360" w:lineRule="auto"/>
        <w:ind w:firstLine="861" w:firstLineChars="286"/>
        <w:jc w:val="center"/>
        <w:rPr>
          <w:rFonts w:ascii="宋体" w:hAnsi="宋体" w:cs="宋体"/>
          <w:b/>
          <w:color w:val="auto"/>
          <w:kern w:val="0"/>
          <w:sz w:val="30"/>
          <w:highlight w:val="none"/>
        </w:rPr>
      </w:pPr>
    </w:p>
    <w:p>
      <w:pPr>
        <w:pStyle w:val="19"/>
        <w:tabs>
          <w:tab w:val="right" w:leader="dot" w:pos="9298"/>
        </w:tabs>
        <w:rPr>
          <w:color w:val="auto"/>
          <w:highlight w:val="none"/>
        </w:rPr>
      </w:pPr>
      <w:r>
        <w:rPr>
          <w:rFonts w:hint="eastAsia" w:ascii="宋体" w:hAnsi="宋体" w:cs="宋体"/>
          <w:b/>
          <w:color w:val="auto"/>
          <w:kern w:val="0"/>
          <w:sz w:val="18"/>
          <w:szCs w:val="18"/>
          <w:highlight w:val="none"/>
        </w:rPr>
        <w:fldChar w:fldCharType="begin"/>
      </w:r>
      <w:r>
        <w:rPr>
          <w:rFonts w:hint="eastAsia" w:ascii="宋体" w:hAnsi="宋体" w:cs="宋体"/>
          <w:b/>
          <w:color w:val="auto"/>
          <w:kern w:val="0"/>
          <w:sz w:val="18"/>
          <w:szCs w:val="18"/>
          <w:highlight w:val="none"/>
        </w:rPr>
        <w:instrText xml:space="preserve"> TOC \o "1-2" \h \u </w:instrText>
      </w:r>
      <w:r>
        <w:rPr>
          <w:rFonts w:hint="eastAsia" w:ascii="宋体" w:hAnsi="宋体" w:cs="宋体"/>
          <w:b/>
          <w:color w:val="auto"/>
          <w:kern w:val="0"/>
          <w:sz w:val="18"/>
          <w:szCs w:val="18"/>
          <w:highlight w:val="none"/>
        </w:rPr>
        <w:fldChar w:fldCharType="separate"/>
      </w: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_Toc29445 </w:instrText>
      </w:r>
      <w:r>
        <w:rPr>
          <w:rFonts w:hint="eastAsia" w:ascii="宋体" w:hAnsi="宋体" w:cs="宋体"/>
          <w:color w:val="auto"/>
          <w:kern w:val="0"/>
          <w:szCs w:val="18"/>
          <w:highlight w:val="none"/>
        </w:rPr>
        <w:fldChar w:fldCharType="separate"/>
      </w:r>
      <w:r>
        <w:rPr>
          <w:rFonts w:hint="eastAsia" w:ascii="宋体" w:hAnsi="宋体" w:cs="宋体"/>
          <w:color w:val="auto"/>
          <w:kern w:val="0"/>
          <w:szCs w:val="36"/>
          <w:highlight w:val="none"/>
        </w:rPr>
        <w:t>第一章 竞争性比选公告</w:t>
      </w:r>
      <w:r>
        <w:rPr>
          <w:color w:val="auto"/>
          <w:highlight w:val="none"/>
        </w:rPr>
        <w:tab/>
      </w:r>
      <w:r>
        <w:rPr>
          <w:color w:val="auto"/>
          <w:highlight w:val="none"/>
        </w:rPr>
        <w:fldChar w:fldCharType="begin"/>
      </w:r>
      <w:r>
        <w:rPr>
          <w:color w:val="auto"/>
          <w:highlight w:val="none"/>
        </w:rPr>
        <w:instrText xml:space="preserve"> PAGEREF _Toc29445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_Toc7305 </w:instrText>
      </w:r>
      <w:r>
        <w:rPr>
          <w:rFonts w:hint="eastAsia" w:ascii="宋体" w:hAnsi="宋体" w:cs="宋体"/>
          <w:color w:val="auto"/>
          <w:kern w:val="0"/>
          <w:szCs w:val="18"/>
          <w:highlight w:val="none"/>
        </w:rPr>
        <w:fldChar w:fldCharType="separate"/>
      </w:r>
      <w:r>
        <w:rPr>
          <w:rFonts w:hint="eastAsia" w:ascii="宋体" w:hAnsi="宋体" w:cs="宋体"/>
          <w:bCs/>
          <w:snapToGrid w:val="0"/>
          <w:color w:val="auto"/>
          <w:szCs w:val="28"/>
          <w:highlight w:val="none"/>
        </w:rPr>
        <w:t>1. 比选条件</w:t>
      </w:r>
      <w:r>
        <w:rPr>
          <w:color w:val="auto"/>
          <w:highlight w:val="none"/>
        </w:rPr>
        <w:tab/>
      </w:r>
      <w:r>
        <w:rPr>
          <w:color w:val="auto"/>
          <w:highlight w:val="none"/>
        </w:rPr>
        <w:fldChar w:fldCharType="begin"/>
      </w:r>
      <w:r>
        <w:rPr>
          <w:color w:val="auto"/>
          <w:highlight w:val="none"/>
        </w:rPr>
        <w:instrText xml:space="preserve"> PAGEREF _Toc7305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_Toc30561 </w:instrText>
      </w:r>
      <w:r>
        <w:rPr>
          <w:rFonts w:hint="eastAsia" w:ascii="宋体" w:hAnsi="宋体" w:cs="宋体"/>
          <w:color w:val="auto"/>
          <w:kern w:val="0"/>
          <w:szCs w:val="18"/>
          <w:highlight w:val="none"/>
        </w:rPr>
        <w:fldChar w:fldCharType="separate"/>
      </w:r>
      <w:r>
        <w:rPr>
          <w:rFonts w:hint="eastAsia" w:ascii="宋体" w:hAnsi="宋体" w:cs="宋体"/>
          <w:bCs/>
          <w:snapToGrid w:val="0"/>
          <w:color w:val="auto"/>
          <w:szCs w:val="28"/>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_Toc30561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_Toc4068 </w:instrText>
      </w:r>
      <w:r>
        <w:rPr>
          <w:rFonts w:hint="eastAsia" w:ascii="宋体" w:hAnsi="宋体" w:cs="宋体"/>
          <w:color w:val="auto"/>
          <w:kern w:val="0"/>
          <w:szCs w:val="18"/>
          <w:highlight w:val="none"/>
        </w:rPr>
        <w:fldChar w:fldCharType="separate"/>
      </w:r>
      <w:r>
        <w:rPr>
          <w:rFonts w:hint="eastAsia" w:ascii="宋体" w:hAnsi="宋体" w:cs="宋体"/>
          <w:bCs/>
          <w:snapToGrid w:val="0"/>
          <w:color w:val="auto"/>
          <w:szCs w:val="28"/>
          <w:highlight w:val="none"/>
        </w:rPr>
        <w:t>3. 竞选人资格要求</w:t>
      </w:r>
      <w:r>
        <w:rPr>
          <w:color w:val="auto"/>
          <w:highlight w:val="none"/>
        </w:rPr>
        <w:tab/>
      </w:r>
      <w:r>
        <w:rPr>
          <w:color w:val="auto"/>
          <w:highlight w:val="none"/>
        </w:rPr>
        <w:fldChar w:fldCharType="begin"/>
      </w:r>
      <w:r>
        <w:rPr>
          <w:color w:val="auto"/>
          <w:highlight w:val="none"/>
        </w:rPr>
        <w:instrText xml:space="preserve"> PAGEREF _Toc4068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_Toc32173 </w:instrText>
      </w:r>
      <w:r>
        <w:rPr>
          <w:rFonts w:hint="eastAsia" w:ascii="宋体" w:hAnsi="宋体" w:cs="宋体"/>
          <w:color w:val="auto"/>
          <w:kern w:val="0"/>
          <w:szCs w:val="18"/>
          <w:highlight w:val="none"/>
        </w:rPr>
        <w:fldChar w:fldCharType="separate"/>
      </w:r>
      <w:r>
        <w:rPr>
          <w:rFonts w:hint="eastAsia" w:ascii="宋体" w:hAnsi="宋体" w:cs="宋体"/>
          <w:bCs/>
          <w:snapToGrid w:val="0"/>
          <w:color w:val="auto"/>
          <w:szCs w:val="28"/>
          <w:highlight w:val="none"/>
        </w:rPr>
        <w:t>4. 竞争性比选文件的获取</w:t>
      </w:r>
      <w:r>
        <w:rPr>
          <w:color w:val="auto"/>
          <w:highlight w:val="none"/>
        </w:rPr>
        <w:tab/>
      </w:r>
      <w:r>
        <w:rPr>
          <w:color w:val="auto"/>
          <w:highlight w:val="none"/>
        </w:rPr>
        <w:fldChar w:fldCharType="begin"/>
      </w:r>
      <w:r>
        <w:rPr>
          <w:color w:val="auto"/>
          <w:highlight w:val="none"/>
        </w:rPr>
        <w:instrText xml:space="preserve"> PAGEREF _Toc32173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_Toc14089 </w:instrText>
      </w:r>
      <w:r>
        <w:rPr>
          <w:rFonts w:hint="eastAsia" w:ascii="宋体" w:hAnsi="宋体" w:cs="宋体"/>
          <w:color w:val="auto"/>
          <w:kern w:val="0"/>
          <w:szCs w:val="18"/>
          <w:highlight w:val="none"/>
        </w:rPr>
        <w:fldChar w:fldCharType="separate"/>
      </w:r>
      <w:r>
        <w:rPr>
          <w:rFonts w:hint="eastAsia" w:ascii="宋体" w:hAnsi="宋体" w:cs="宋体"/>
          <w:bCs/>
          <w:snapToGrid w:val="0"/>
          <w:color w:val="auto"/>
          <w:szCs w:val="28"/>
          <w:highlight w:val="none"/>
        </w:rPr>
        <w:t>5.比选截止时间、开标时间和地点</w:t>
      </w:r>
      <w:r>
        <w:rPr>
          <w:color w:val="auto"/>
          <w:highlight w:val="none"/>
        </w:rPr>
        <w:tab/>
      </w:r>
      <w:r>
        <w:rPr>
          <w:color w:val="auto"/>
          <w:highlight w:val="none"/>
        </w:rPr>
        <w:fldChar w:fldCharType="begin"/>
      </w:r>
      <w:r>
        <w:rPr>
          <w:color w:val="auto"/>
          <w:highlight w:val="none"/>
        </w:rPr>
        <w:instrText xml:space="preserve"> PAGEREF _Toc14089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_Toc18618 </w:instrText>
      </w:r>
      <w:r>
        <w:rPr>
          <w:rFonts w:hint="eastAsia" w:ascii="宋体" w:hAnsi="宋体" w:cs="宋体"/>
          <w:color w:val="auto"/>
          <w:kern w:val="0"/>
          <w:szCs w:val="18"/>
          <w:highlight w:val="none"/>
        </w:rPr>
        <w:fldChar w:fldCharType="separate"/>
      </w:r>
      <w:r>
        <w:rPr>
          <w:rFonts w:hint="eastAsia" w:ascii="宋体" w:hAnsi="宋体" w:cs="宋体"/>
          <w:bCs/>
          <w:snapToGrid w:val="0"/>
          <w:color w:val="auto"/>
          <w:szCs w:val="28"/>
          <w:highlight w:val="none"/>
        </w:rPr>
        <w:t>6．发布比选公告的媒介</w:t>
      </w:r>
      <w:r>
        <w:rPr>
          <w:color w:val="auto"/>
          <w:highlight w:val="none"/>
        </w:rPr>
        <w:tab/>
      </w:r>
      <w:r>
        <w:rPr>
          <w:color w:val="auto"/>
          <w:highlight w:val="none"/>
        </w:rPr>
        <w:fldChar w:fldCharType="begin"/>
      </w:r>
      <w:r>
        <w:rPr>
          <w:color w:val="auto"/>
          <w:highlight w:val="none"/>
        </w:rPr>
        <w:instrText xml:space="preserve"> PAGEREF _Toc18618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_Toc18566 </w:instrText>
      </w:r>
      <w:r>
        <w:rPr>
          <w:rFonts w:hint="eastAsia" w:ascii="宋体" w:hAnsi="宋体" w:cs="宋体"/>
          <w:color w:val="auto"/>
          <w:kern w:val="0"/>
          <w:szCs w:val="18"/>
          <w:highlight w:val="none"/>
        </w:rPr>
        <w:fldChar w:fldCharType="separate"/>
      </w:r>
      <w:r>
        <w:rPr>
          <w:rFonts w:hint="eastAsia" w:ascii="宋体" w:hAnsi="宋体" w:cs="宋体"/>
          <w:bCs/>
          <w:snapToGrid w:val="0"/>
          <w:color w:val="auto"/>
          <w:szCs w:val="28"/>
          <w:highlight w:val="none"/>
        </w:rPr>
        <w:t>7. 联系方式</w:t>
      </w:r>
      <w:r>
        <w:rPr>
          <w:color w:val="auto"/>
          <w:highlight w:val="none"/>
        </w:rPr>
        <w:tab/>
      </w:r>
      <w:r>
        <w:rPr>
          <w:color w:val="auto"/>
          <w:highlight w:val="none"/>
        </w:rPr>
        <w:fldChar w:fldCharType="begin"/>
      </w:r>
      <w:r>
        <w:rPr>
          <w:color w:val="auto"/>
          <w:highlight w:val="none"/>
        </w:rPr>
        <w:instrText xml:space="preserve"> PAGEREF _Toc18566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kern w:val="0"/>
          <w:szCs w:val="18"/>
          <w:highlight w:val="none"/>
        </w:rPr>
        <w:fldChar w:fldCharType="end"/>
      </w:r>
    </w:p>
    <w:p>
      <w:pPr>
        <w:pStyle w:val="19"/>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_Toc8184 </w:instrText>
      </w:r>
      <w:r>
        <w:rPr>
          <w:rFonts w:hint="eastAsia" w:ascii="宋体" w:hAnsi="宋体" w:cs="宋体"/>
          <w:color w:val="auto"/>
          <w:kern w:val="0"/>
          <w:szCs w:val="18"/>
          <w:highlight w:val="none"/>
        </w:rPr>
        <w:fldChar w:fldCharType="separate"/>
      </w:r>
      <w:r>
        <w:rPr>
          <w:rFonts w:hint="eastAsia" w:ascii="宋体" w:hAnsi="宋体" w:cs="宋体"/>
          <w:color w:val="auto"/>
          <w:kern w:val="0"/>
          <w:szCs w:val="36"/>
          <w:highlight w:val="none"/>
        </w:rPr>
        <w:t>第二章  竞选人须知</w:t>
      </w:r>
      <w:r>
        <w:rPr>
          <w:color w:val="auto"/>
          <w:highlight w:val="none"/>
        </w:rPr>
        <w:tab/>
      </w:r>
      <w:r>
        <w:rPr>
          <w:color w:val="auto"/>
          <w:highlight w:val="none"/>
        </w:rPr>
        <w:fldChar w:fldCharType="begin"/>
      </w:r>
      <w:r>
        <w:rPr>
          <w:color w:val="auto"/>
          <w:highlight w:val="none"/>
        </w:rPr>
        <w:instrText xml:space="preserve"> PAGEREF _Toc8184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_Toc29910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1.  总则</w:t>
      </w:r>
      <w:r>
        <w:rPr>
          <w:color w:val="auto"/>
          <w:highlight w:val="none"/>
        </w:rPr>
        <w:tab/>
      </w:r>
      <w:r>
        <w:rPr>
          <w:color w:val="auto"/>
          <w:highlight w:val="none"/>
        </w:rPr>
        <w:fldChar w:fldCharType="begin"/>
      </w:r>
      <w:r>
        <w:rPr>
          <w:color w:val="auto"/>
          <w:highlight w:val="none"/>
        </w:rPr>
        <w:instrText xml:space="preserve"> PAGEREF _Toc29910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_Toc1425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2.  比选文件</w:t>
      </w:r>
      <w:r>
        <w:rPr>
          <w:color w:val="auto"/>
          <w:highlight w:val="none"/>
        </w:rPr>
        <w:tab/>
      </w:r>
      <w:r>
        <w:rPr>
          <w:color w:val="auto"/>
          <w:highlight w:val="none"/>
        </w:rPr>
        <w:fldChar w:fldCharType="begin"/>
      </w:r>
      <w:r>
        <w:rPr>
          <w:color w:val="auto"/>
          <w:highlight w:val="none"/>
        </w:rPr>
        <w:instrText xml:space="preserve"> PAGEREF _Toc1425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_Toc653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3.  竞选文件</w:t>
      </w:r>
      <w:r>
        <w:rPr>
          <w:color w:val="auto"/>
          <w:highlight w:val="none"/>
        </w:rPr>
        <w:tab/>
      </w:r>
      <w:r>
        <w:rPr>
          <w:color w:val="auto"/>
          <w:highlight w:val="none"/>
        </w:rPr>
        <w:fldChar w:fldCharType="begin"/>
      </w:r>
      <w:r>
        <w:rPr>
          <w:color w:val="auto"/>
          <w:highlight w:val="none"/>
        </w:rPr>
        <w:instrText xml:space="preserve"> PAGEREF _Toc653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_Toc9852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4.  比选申请</w:t>
      </w:r>
      <w:r>
        <w:rPr>
          <w:color w:val="auto"/>
          <w:highlight w:val="none"/>
        </w:rPr>
        <w:tab/>
      </w:r>
      <w:r>
        <w:rPr>
          <w:color w:val="auto"/>
          <w:highlight w:val="none"/>
        </w:rPr>
        <w:fldChar w:fldCharType="begin"/>
      </w:r>
      <w:r>
        <w:rPr>
          <w:color w:val="auto"/>
          <w:highlight w:val="none"/>
        </w:rPr>
        <w:instrText xml:space="preserve"> PAGEREF _Toc9852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_Toc12473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5.  开标</w:t>
      </w:r>
      <w:r>
        <w:rPr>
          <w:color w:val="auto"/>
          <w:highlight w:val="none"/>
        </w:rPr>
        <w:tab/>
      </w:r>
      <w:r>
        <w:rPr>
          <w:color w:val="auto"/>
          <w:highlight w:val="none"/>
        </w:rPr>
        <w:fldChar w:fldCharType="begin"/>
      </w:r>
      <w:r>
        <w:rPr>
          <w:color w:val="auto"/>
          <w:highlight w:val="none"/>
        </w:rPr>
        <w:instrText xml:space="preserve"> PAGEREF _Toc12473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_Toc7124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6.  评审</w:t>
      </w:r>
      <w:r>
        <w:rPr>
          <w:color w:val="auto"/>
          <w:highlight w:val="none"/>
        </w:rPr>
        <w:tab/>
      </w:r>
      <w:r>
        <w:rPr>
          <w:color w:val="auto"/>
          <w:highlight w:val="none"/>
        </w:rPr>
        <w:fldChar w:fldCharType="begin"/>
      </w:r>
      <w:r>
        <w:rPr>
          <w:color w:val="auto"/>
          <w:highlight w:val="none"/>
        </w:rPr>
        <w:instrText xml:space="preserve"> PAGEREF _Toc7124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_Toc14655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7.  合同授予</w:t>
      </w:r>
      <w:r>
        <w:rPr>
          <w:color w:val="auto"/>
          <w:highlight w:val="none"/>
        </w:rPr>
        <w:tab/>
      </w:r>
      <w:r>
        <w:rPr>
          <w:color w:val="auto"/>
          <w:highlight w:val="none"/>
        </w:rPr>
        <w:fldChar w:fldCharType="begin"/>
      </w:r>
      <w:r>
        <w:rPr>
          <w:color w:val="auto"/>
          <w:highlight w:val="none"/>
        </w:rPr>
        <w:instrText xml:space="preserve"> PAGEREF _Toc14655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_Toc4153 </w:instrText>
      </w:r>
      <w:r>
        <w:rPr>
          <w:rFonts w:hint="eastAsia" w:ascii="宋体" w:hAnsi="宋体" w:cs="宋体"/>
          <w:color w:val="auto"/>
          <w:kern w:val="0"/>
          <w:szCs w:val="18"/>
          <w:highlight w:val="none"/>
        </w:rPr>
        <w:fldChar w:fldCharType="separate"/>
      </w:r>
      <w:r>
        <w:rPr>
          <w:rFonts w:hint="eastAsia" w:ascii="宋体" w:hAnsi="宋体" w:eastAsia="宋体" w:cs="宋体"/>
          <w:snapToGrid w:val="0"/>
          <w:color w:val="auto"/>
          <w:highlight w:val="none"/>
        </w:rPr>
        <w:t>8.重新比选和不再比选</w:t>
      </w:r>
      <w:r>
        <w:rPr>
          <w:color w:val="auto"/>
          <w:highlight w:val="none"/>
        </w:rPr>
        <w:tab/>
      </w:r>
      <w:r>
        <w:rPr>
          <w:color w:val="auto"/>
          <w:highlight w:val="none"/>
        </w:rPr>
        <w:fldChar w:fldCharType="begin"/>
      </w:r>
      <w:r>
        <w:rPr>
          <w:color w:val="auto"/>
          <w:highlight w:val="none"/>
        </w:rPr>
        <w:instrText xml:space="preserve"> PAGEREF _Toc4153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_Toc23369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9.  纪律和监督</w:t>
      </w:r>
      <w:r>
        <w:rPr>
          <w:color w:val="auto"/>
          <w:highlight w:val="none"/>
        </w:rPr>
        <w:tab/>
      </w:r>
      <w:r>
        <w:rPr>
          <w:color w:val="auto"/>
          <w:highlight w:val="none"/>
        </w:rPr>
        <w:fldChar w:fldCharType="begin"/>
      </w:r>
      <w:r>
        <w:rPr>
          <w:color w:val="auto"/>
          <w:highlight w:val="none"/>
        </w:rPr>
        <w:instrText xml:space="preserve"> PAGEREF _Toc23369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_Toc12561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_Toc12561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kern w:val="0"/>
          <w:szCs w:val="18"/>
          <w:highlight w:val="none"/>
        </w:rPr>
        <w:fldChar w:fldCharType="end"/>
      </w:r>
    </w:p>
    <w:p>
      <w:pPr>
        <w:pStyle w:val="19"/>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_Toc22015 </w:instrText>
      </w:r>
      <w:r>
        <w:rPr>
          <w:rFonts w:hint="eastAsia" w:ascii="宋体" w:hAnsi="宋体" w:cs="宋体"/>
          <w:color w:val="auto"/>
          <w:kern w:val="0"/>
          <w:szCs w:val="18"/>
          <w:highlight w:val="none"/>
        </w:rPr>
        <w:fldChar w:fldCharType="separate"/>
      </w:r>
      <w:r>
        <w:rPr>
          <w:rFonts w:hint="eastAsia" w:ascii="宋体" w:hAnsi="宋体" w:cs="宋体"/>
          <w:color w:val="auto"/>
          <w:kern w:val="0"/>
          <w:szCs w:val="36"/>
          <w:highlight w:val="none"/>
        </w:rPr>
        <w:t>第三章  评审办法（综合评估法）</w:t>
      </w:r>
      <w:r>
        <w:rPr>
          <w:color w:val="auto"/>
          <w:highlight w:val="none"/>
        </w:rPr>
        <w:tab/>
      </w:r>
      <w:r>
        <w:rPr>
          <w:color w:val="auto"/>
          <w:highlight w:val="none"/>
        </w:rPr>
        <w:fldChar w:fldCharType="begin"/>
      </w:r>
      <w:r>
        <w:rPr>
          <w:color w:val="auto"/>
          <w:highlight w:val="none"/>
        </w:rPr>
        <w:instrText xml:space="preserve"> PAGEREF _Toc22015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kern w:val="0"/>
          <w:szCs w:val="18"/>
          <w:highlight w:val="none"/>
        </w:rPr>
        <w:fldChar w:fldCharType="end"/>
      </w:r>
    </w:p>
    <w:p>
      <w:pPr>
        <w:pStyle w:val="19"/>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_Toc21207 </w:instrText>
      </w:r>
      <w:r>
        <w:rPr>
          <w:rFonts w:hint="eastAsia" w:ascii="宋体" w:hAnsi="宋体" w:cs="宋体"/>
          <w:color w:val="auto"/>
          <w:kern w:val="0"/>
          <w:szCs w:val="18"/>
          <w:highlight w:val="none"/>
        </w:rPr>
        <w:fldChar w:fldCharType="separate"/>
      </w:r>
      <w:r>
        <w:rPr>
          <w:rFonts w:hint="eastAsia" w:ascii="宋体" w:hAnsi="宋体" w:cs="宋体"/>
          <w:color w:val="auto"/>
          <w:kern w:val="0"/>
          <w:szCs w:val="36"/>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_Toc21207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_Toc15898 </w:instrText>
      </w:r>
      <w:r>
        <w:rPr>
          <w:rFonts w:hint="eastAsia" w:ascii="宋体" w:hAnsi="宋体" w:cs="宋体"/>
          <w:color w:val="auto"/>
          <w:kern w:val="0"/>
          <w:szCs w:val="18"/>
          <w:highlight w:val="none"/>
        </w:rPr>
        <w:fldChar w:fldCharType="separate"/>
      </w:r>
      <w:r>
        <w:rPr>
          <w:rFonts w:hint="eastAsia" w:ascii="宋体" w:hAnsi="宋体" w:eastAsia="宋体" w:cs="宋体"/>
          <w:snapToGrid w:val="0"/>
          <w:color w:val="auto"/>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_Toc15898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_Toc10461 </w:instrText>
      </w:r>
      <w:r>
        <w:rPr>
          <w:rFonts w:hint="eastAsia" w:ascii="宋体" w:hAnsi="宋体" w:cs="宋体"/>
          <w:color w:val="auto"/>
          <w:kern w:val="0"/>
          <w:szCs w:val="18"/>
          <w:highlight w:val="none"/>
        </w:rPr>
        <w:fldChar w:fldCharType="separate"/>
      </w:r>
      <w:r>
        <w:rPr>
          <w:rFonts w:hint="eastAsia" w:ascii="宋体" w:hAnsi="宋体" w:eastAsia="宋体" w:cs="宋体"/>
          <w:snapToGrid w:val="0"/>
          <w:color w:val="auto"/>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_Toc10461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kern w:val="0"/>
          <w:szCs w:val="18"/>
          <w:highlight w:val="none"/>
        </w:rPr>
        <w:fldChar w:fldCharType="end"/>
      </w:r>
    </w:p>
    <w:p>
      <w:pPr>
        <w:pStyle w:val="24"/>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_Toc11550 </w:instrText>
      </w:r>
      <w:r>
        <w:rPr>
          <w:rFonts w:hint="eastAsia" w:ascii="宋体" w:hAnsi="宋体" w:cs="宋体"/>
          <w:color w:val="auto"/>
          <w:kern w:val="0"/>
          <w:szCs w:val="18"/>
          <w:highlight w:val="none"/>
        </w:rPr>
        <w:fldChar w:fldCharType="separate"/>
      </w:r>
      <w:r>
        <w:rPr>
          <w:rFonts w:hint="eastAsia" w:ascii="宋体" w:hAnsi="宋体" w:cs="宋体"/>
          <w:color w:val="auto"/>
          <w:szCs w:val="21"/>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_Toc11550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kern w:val="0"/>
          <w:szCs w:val="18"/>
          <w:highlight w:val="none"/>
        </w:rPr>
        <w:fldChar w:fldCharType="end"/>
      </w:r>
    </w:p>
    <w:p>
      <w:pPr>
        <w:pStyle w:val="19"/>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_Toc13359 </w:instrText>
      </w:r>
      <w:r>
        <w:rPr>
          <w:rFonts w:hint="eastAsia" w:ascii="宋体" w:hAnsi="宋体" w:cs="宋体"/>
          <w:color w:val="auto"/>
          <w:kern w:val="0"/>
          <w:szCs w:val="18"/>
          <w:highlight w:val="none"/>
        </w:rPr>
        <w:fldChar w:fldCharType="separate"/>
      </w:r>
      <w:r>
        <w:rPr>
          <w:rFonts w:hint="eastAsia" w:ascii="宋体" w:hAnsi="宋体" w:cs="宋体"/>
          <w:color w:val="auto"/>
          <w:kern w:val="0"/>
          <w:szCs w:val="36"/>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_Toc13359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kern w:val="0"/>
          <w:szCs w:val="18"/>
          <w:highlight w:val="none"/>
        </w:rPr>
        <w:fldChar w:fldCharType="end"/>
      </w:r>
    </w:p>
    <w:p>
      <w:pPr>
        <w:pStyle w:val="19"/>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_Toc32562 </w:instrText>
      </w:r>
      <w:r>
        <w:rPr>
          <w:rFonts w:hint="eastAsia" w:ascii="宋体" w:hAnsi="宋体" w:cs="宋体"/>
          <w:color w:val="auto"/>
          <w:kern w:val="0"/>
          <w:szCs w:val="18"/>
          <w:highlight w:val="none"/>
        </w:rPr>
        <w:fldChar w:fldCharType="separate"/>
      </w:r>
      <w:r>
        <w:rPr>
          <w:rFonts w:hint="eastAsia" w:ascii="宋体" w:hAnsi="宋体" w:cs="宋体"/>
          <w:color w:val="auto"/>
          <w:kern w:val="0"/>
          <w:szCs w:val="36"/>
          <w:highlight w:val="none"/>
        </w:rPr>
        <w:t>第六章  图纸</w:t>
      </w:r>
      <w:r>
        <w:rPr>
          <w:color w:val="auto"/>
          <w:highlight w:val="none"/>
        </w:rPr>
        <w:tab/>
      </w:r>
      <w:r>
        <w:rPr>
          <w:color w:val="auto"/>
          <w:highlight w:val="none"/>
        </w:rPr>
        <w:fldChar w:fldCharType="begin"/>
      </w:r>
      <w:r>
        <w:rPr>
          <w:color w:val="auto"/>
          <w:highlight w:val="none"/>
        </w:rPr>
        <w:instrText xml:space="preserve"> PAGEREF _Toc32562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cs="宋体"/>
          <w:color w:val="auto"/>
          <w:kern w:val="0"/>
          <w:szCs w:val="18"/>
          <w:highlight w:val="none"/>
        </w:rPr>
        <w:fldChar w:fldCharType="end"/>
      </w:r>
    </w:p>
    <w:p>
      <w:pPr>
        <w:pStyle w:val="19"/>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_Toc27254 </w:instrText>
      </w:r>
      <w:r>
        <w:rPr>
          <w:rFonts w:hint="eastAsia" w:ascii="宋体" w:hAnsi="宋体" w:cs="宋体"/>
          <w:color w:val="auto"/>
          <w:kern w:val="0"/>
          <w:szCs w:val="18"/>
          <w:highlight w:val="none"/>
        </w:rPr>
        <w:fldChar w:fldCharType="separate"/>
      </w:r>
      <w:r>
        <w:rPr>
          <w:rFonts w:hint="eastAsia" w:ascii="宋体" w:hAnsi="宋体" w:cs="宋体"/>
          <w:color w:val="auto"/>
          <w:kern w:val="0"/>
          <w:szCs w:val="36"/>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_Toc27254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kern w:val="0"/>
          <w:szCs w:val="18"/>
          <w:highlight w:val="none"/>
        </w:rPr>
        <w:fldChar w:fldCharType="end"/>
      </w:r>
    </w:p>
    <w:p>
      <w:pPr>
        <w:pStyle w:val="19"/>
        <w:tabs>
          <w:tab w:val="right" w:leader="dot" w:pos="9298"/>
        </w:tabs>
        <w:rPr>
          <w:color w:val="auto"/>
          <w:highlight w:val="none"/>
        </w:rPr>
      </w:pPr>
      <w:r>
        <w:rPr>
          <w:rFonts w:hint="eastAsia" w:ascii="宋体" w:hAnsi="宋体" w:cs="宋体"/>
          <w:color w:val="auto"/>
          <w:kern w:val="0"/>
          <w:szCs w:val="18"/>
          <w:highlight w:val="none"/>
        </w:rPr>
        <w:fldChar w:fldCharType="begin"/>
      </w:r>
      <w:r>
        <w:rPr>
          <w:rFonts w:hint="eastAsia" w:ascii="宋体" w:hAnsi="宋体" w:cs="宋体"/>
          <w:color w:val="auto"/>
          <w:kern w:val="0"/>
          <w:szCs w:val="18"/>
          <w:highlight w:val="none"/>
        </w:rPr>
        <w:instrText xml:space="preserve"> HYPERLINK \l _Toc15603 </w:instrText>
      </w:r>
      <w:r>
        <w:rPr>
          <w:rFonts w:hint="eastAsia" w:ascii="宋体" w:hAnsi="宋体" w:cs="宋体"/>
          <w:color w:val="auto"/>
          <w:kern w:val="0"/>
          <w:szCs w:val="18"/>
          <w:highlight w:val="none"/>
        </w:rPr>
        <w:fldChar w:fldCharType="separate"/>
      </w:r>
      <w:r>
        <w:rPr>
          <w:rFonts w:hint="eastAsia" w:ascii="宋体" w:hAnsi="宋体" w:cs="宋体"/>
          <w:color w:val="auto"/>
          <w:kern w:val="0"/>
          <w:szCs w:val="36"/>
          <w:highlight w:val="none"/>
        </w:rPr>
        <w:t>第八章  竞选文件格式</w:t>
      </w:r>
      <w:r>
        <w:rPr>
          <w:color w:val="auto"/>
          <w:highlight w:val="none"/>
        </w:rPr>
        <w:tab/>
      </w:r>
      <w:r>
        <w:rPr>
          <w:color w:val="auto"/>
          <w:highlight w:val="none"/>
        </w:rPr>
        <w:fldChar w:fldCharType="begin"/>
      </w:r>
      <w:r>
        <w:rPr>
          <w:color w:val="auto"/>
          <w:highlight w:val="none"/>
        </w:rPr>
        <w:instrText xml:space="preserve"> PAGEREF _Toc15603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cs="宋体"/>
          <w:color w:val="auto"/>
          <w:kern w:val="0"/>
          <w:szCs w:val="18"/>
          <w:highlight w:val="none"/>
        </w:rPr>
        <w:fldChar w:fldCharType="end"/>
      </w:r>
    </w:p>
    <w:p>
      <w:pPr>
        <w:widowControl/>
        <w:snapToGrid w:val="0"/>
        <w:spacing w:line="360" w:lineRule="auto"/>
        <w:ind w:firstLine="600" w:firstLineChars="286"/>
        <w:jc w:val="center"/>
        <w:rPr>
          <w:rFonts w:ascii="宋体" w:hAnsi="宋体" w:cs="宋体"/>
          <w:color w:val="auto"/>
          <w:kern w:val="0"/>
          <w:sz w:val="18"/>
          <w:szCs w:val="18"/>
          <w:highlight w:val="none"/>
        </w:rPr>
      </w:pPr>
      <w:r>
        <w:rPr>
          <w:rFonts w:hint="eastAsia" w:ascii="宋体" w:hAnsi="宋体" w:cs="宋体"/>
          <w:color w:val="auto"/>
          <w:kern w:val="0"/>
          <w:szCs w:val="18"/>
          <w:highlight w:val="none"/>
        </w:rPr>
        <w:fldChar w:fldCharType="end"/>
      </w:r>
    </w:p>
    <w:p>
      <w:pPr>
        <w:widowControl/>
        <w:snapToGrid w:val="0"/>
        <w:spacing w:line="360" w:lineRule="auto"/>
        <w:ind w:firstLine="514" w:firstLineChars="286"/>
        <w:jc w:val="center"/>
        <w:rPr>
          <w:rFonts w:ascii="宋体" w:hAnsi="宋体" w:cs="宋体"/>
          <w:color w:val="auto"/>
          <w:kern w:val="0"/>
          <w:sz w:val="18"/>
          <w:szCs w:val="18"/>
          <w:highlight w:val="none"/>
        </w:rPr>
      </w:pPr>
    </w:p>
    <w:p>
      <w:pPr>
        <w:widowControl/>
        <w:snapToGrid w:val="0"/>
        <w:spacing w:line="360" w:lineRule="auto"/>
        <w:ind w:firstLine="514" w:firstLineChars="286"/>
        <w:jc w:val="center"/>
        <w:rPr>
          <w:rFonts w:ascii="宋体" w:hAnsi="宋体" w:cs="宋体"/>
          <w:color w:val="auto"/>
          <w:kern w:val="0"/>
          <w:sz w:val="18"/>
          <w:szCs w:val="18"/>
          <w:highlight w:val="none"/>
        </w:rPr>
      </w:pPr>
    </w:p>
    <w:p>
      <w:pPr>
        <w:widowControl/>
        <w:snapToGrid w:val="0"/>
        <w:spacing w:line="360" w:lineRule="auto"/>
        <w:ind w:firstLine="514" w:firstLineChars="286"/>
        <w:jc w:val="center"/>
        <w:rPr>
          <w:rFonts w:ascii="宋体" w:hAnsi="宋体" w:cs="宋体"/>
          <w:color w:val="auto"/>
          <w:kern w:val="0"/>
          <w:sz w:val="18"/>
          <w:szCs w:val="18"/>
          <w:highlight w:val="none"/>
        </w:rPr>
      </w:pPr>
    </w:p>
    <w:p>
      <w:pPr>
        <w:widowControl/>
        <w:snapToGrid w:val="0"/>
        <w:spacing w:line="360" w:lineRule="auto"/>
        <w:ind w:firstLine="514" w:firstLineChars="286"/>
        <w:jc w:val="center"/>
        <w:rPr>
          <w:rFonts w:ascii="宋体" w:hAnsi="宋体" w:cs="宋体"/>
          <w:color w:val="auto"/>
          <w:kern w:val="0"/>
          <w:sz w:val="18"/>
          <w:szCs w:val="18"/>
          <w:highlight w:val="none"/>
        </w:rPr>
      </w:pPr>
    </w:p>
    <w:p>
      <w:pPr>
        <w:widowControl/>
        <w:snapToGrid w:val="0"/>
        <w:spacing w:line="360" w:lineRule="auto"/>
        <w:ind w:firstLine="514" w:firstLineChars="286"/>
        <w:jc w:val="center"/>
        <w:rPr>
          <w:rFonts w:ascii="宋体" w:hAnsi="宋体" w:cs="宋体"/>
          <w:color w:val="auto"/>
          <w:kern w:val="0"/>
          <w:sz w:val="18"/>
          <w:szCs w:val="18"/>
          <w:highlight w:val="none"/>
        </w:rPr>
      </w:pPr>
    </w:p>
    <w:p>
      <w:pPr>
        <w:widowControl/>
        <w:snapToGrid w:val="0"/>
        <w:spacing w:line="360" w:lineRule="auto"/>
        <w:ind w:firstLine="514" w:firstLineChars="286"/>
        <w:jc w:val="center"/>
        <w:rPr>
          <w:rFonts w:ascii="宋体" w:hAnsi="宋体" w:cs="宋体"/>
          <w:color w:val="auto"/>
          <w:kern w:val="0"/>
          <w:sz w:val="18"/>
          <w:szCs w:val="18"/>
          <w:highlight w:val="none"/>
        </w:rPr>
      </w:pPr>
    </w:p>
    <w:p>
      <w:pPr>
        <w:widowControl/>
        <w:snapToGrid w:val="0"/>
        <w:spacing w:line="360" w:lineRule="auto"/>
        <w:ind w:firstLine="514" w:firstLineChars="286"/>
        <w:jc w:val="center"/>
        <w:rPr>
          <w:rFonts w:ascii="宋体" w:hAnsi="宋体" w:cs="宋体"/>
          <w:color w:val="auto"/>
          <w:kern w:val="0"/>
          <w:sz w:val="18"/>
          <w:szCs w:val="18"/>
          <w:highlight w:val="none"/>
        </w:rPr>
      </w:pPr>
    </w:p>
    <w:p>
      <w:pPr>
        <w:rPr>
          <w:rFonts w:ascii="宋体" w:hAnsi="宋体" w:cs="宋体"/>
          <w:b/>
          <w:color w:val="auto"/>
          <w:kern w:val="0"/>
          <w:sz w:val="36"/>
          <w:szCs w:val="36"/>
          <w:highlight w:val="none"/>
        </w:rPr>
      </w:pPr>
      <w:bookmarkStart w:id="0" w:name="_Toc430205959"/>
      <w:bookmarkStart w:id="1" w:name="_Toc19896"/>
      <w:bookmarkStart w:id="2" w:name="_Toc1542"/>
      <w:bookmarkStart w:id="3" w:name="_Toc30045"/>
      <w:r>
        <w:rPr>
          <w:rFonts w:hint="eastAsia" w:ascii="宋体" w:hAnsi="宋体" w:cs="宋体"/>
          <w:b/>
          <w:color w:val="auto"/>
          <w:kern w:val="0"/>
          <w:sz w:val="36"/>
          <w:szCs w:val="36"/>
          <w:highlight w:val="none"/>
        </w:rPr>
        <w:br w:type="page"/>
      </w:r>
    </w:p>
    <w:p>
      <w:pPr>
        <w:widowControl/>
        <w:snapToGrid w:val="0"/>
        <w:spacing w:line="360" w:lineRule="auto"/>
        <w:jc w:val="center"/>
        <w:outlineLvl w:val="0"/>
        <w:rPr>
          <w:rFonts w:ascii="宋体" w:hAnsi="宋体" w:cs="宋体"/>
          <w:b/>
          <w:color w:val="auto"/>
          <w:kern w:val="0"/>
          <w:sz w:val="36"/>
          <w:szCs w:val="36"/>
          <w:highlight w:val="none"/>
        </w:rPr>
      </w:pPr>
      <w:bookmarkStart w:id="4" w:name="_Toc29445"/>
      <w:r>
        <w:rPr>
          <w:rFonts w:hint="eastAsia" w:ascii="宋体" w:hAnsi="宋体" w:cs="宋体"/>
          <w:b/>
          <w:color w:val="auto"/>
          <w:kern w:val="0"/>
          <w:sz w:val="36"/>
          <w:szCs w:val="36"/>
          <w:highlight w:val="none"/>
        </w:rPr>
        <w:t xml:space="preserve">第一章 </w:t>
      </w:r>
      <w:bookmarkEnd w:id="0"/>
      <w:r>
        <w:rPr>
          <w:rFonts w:hint="eastAsia" w:ascii="宋体" w:hAnsi="宋体" w:cs="宋体"/>
          <w:b/>
          <w:color w:val="auto"/>
          <w:kern w:val="0"/>
          <w:sz w:val="36"/>
          <w:szCs w:val="36"/>
          <w:highlight w:val="none"/>
        </w:rPr>
        <w:t>竞争性比选</w:t>
      </w:r>
      <w:bookmarkEnd w:id="1"/>
      <w:bookmarkEnd w:id="2"/>
      <w:r>
        <w:rPr>
          <w:rFonts w:hint="eastAsia" w:ascii="宋体" w:hAnsi="宋体" w:cs="宋体"/>
          <w:b/>
          <w:color w:val="auto"/>
          <w:kern w:val="0"/>
          <w:sz w:val="36"/>
          <w:szCs w:val="36"/>
          <w:highlight w:val="none"/>
        </w:rPr>
        <w:t>公告</w:t>
      </w:r>
      <w:bookmarkEnd w:id="3"/>
      <w:bookmarkEnd w:id="4"/>
    </w:p>
    <w:p>
      <w:pPr>
        <w:widowControl/>
        <w:snapToGrid w:val="0"/>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重庆医科大学附属康复医院住院部1-4楼公共卫生间改造项目</w:t>
      </w:r>
    </w:p>
    <w:p>
      <w:pPr>
        <w:widowControl/>
        <w:snapToGrid w:val="0"/>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竞争性比选公告</w:t>
      </w:r>
    </w:p>
    <w:p>
      <w:pPr>
        <w:keepNext/>
        <w:keepLines/>
        <w:tabs>
          <w:tab w:val="left" w:pos="7064"/>
        </w:tabs>
        <w:spacing w:line="560" w:lineRule="exact"/>
        <w:outlineLvl w:val="1"/>
        <w:rPr>
          <w:rFonts w:ascii="宋体" w:hAnsi="宋体" w:cs="宋体"/>
          <w:b/>
          <w:bCs/>
          <w:snapToGrid w:val="0"/>
          <w:color w:val="auto"/>
          <w:sz w:val="28"/>
          <w:szCs w:val="28"/>
          <w:highlight w:val="none"/>
        </w:rPr>
      </w:pPr>
      <w:bookmarkStart w:id="5" w:name="_Toc287607728"/>
      <w:bookmarkStart w:id="6" w:name="_Toc200359238"/>
      <w:bookmarkStart w:id="7" w:name="_Toc347847757"/>
      <w:bookmarkStart w:id="8" w:name="_Toc19685"/>
      <w:bookmarkStart w:id="9" w:name="_Toc8853"/>
      <w:bookmarkStart w:id="10" w:name="_Toc4037"/>
      <w:bookmarkStart w:id="11" w:name="_Toc533097531"/>
      <w:bookmarkStart w:id="12" w:name="_Toc3513"/>
      <w:bookmarkStart w:id="13" w:name="_Toc7305"/>
      <w:bookmarkStart w:id="14" w:name="_Toc421694712"/>
      <w:bookmarkStart w:id="15" w:name="_Toc388611519"/>
      <w:bookmarkStart w:id="16" w:name="_Toc200359427"/>
      <w:bookmarkStart w:id="17" w:name="_Toc277082536"/>
      <w:bookmarkStart w:id="18" w:name="_Toc224103299"/>
      <w:bookmarkStart w:id="19" w:name="_Toc374950896"/>
      <w:r>
        <w:rPr>
          <w:rFonts w:hint="eastAsia" w:ascii="宋体" w:hAnsi="宋体" w:cs="宋体"/>
          <w:b/>
          <w:bCs/>
          <w:snapToGrid w:val="0"/>
          <w:color w:val="auto"/>
          <w:sz w:val="28"/>
          <w:szCs w:val="28"/>
          <w:highlight w:val="none"/>
        </w:rPr>
        <w:t>1. 比选条件</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ascii="宋体" w:hAnsi="宋体" w:cs="宋体"/>
          <w:b/>
          <w:bCs/>
          <w:snapToGrid w:val="0"/>
          <w:color w:val="auto"/>
          <w:sz w:val="28"/>
          <w:szCs w:val="28"/>
          <w:highlight w:val="none"/>
        </w:rPr>
        <w:tab/>
      </w:r>
    </w:p>
    <w:p>
      <w:pPr>
        <w:widowControl/>
        <w:snapToGrid w:val="0"/>
        <w:spacing w:line="48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本比选项目</w:t>
      </w:r>
      <w:r>
        <w:rPr>
          <w:rFonts w:hint="eastAsia" w:ascii="宋体" w:hAnsi="宋体" w:cs="宋体"/>
          <w:color w:val="auto"/>
          <w:kern w:val="0"/>
          <w:highlight w:val="none"/>
          <w:u w:val="single"/>
        </w:rPr>
        <w:t>重庆医科大学附属康复医院住院部1-4楼公共卫生间改造项目</w:t>
      </w:r>
      <w:r>
        <w:rPr>
          <w:rFonts w:hint="eastAsia" w:ascii="宋体" w:hAnsi="宋体" w:cs="宋体"/>
          <w:color w:val="auto"/>
          <w:kern w:val="0"/>
          <w:highlight w:val="none"/>
          <w:u w:val="none"/>
          <w:lang w:eastAsia="zh-CN"/>
        </w:rPr>
        <w:t>比选人为</w:t>
      </w:r>
      <w:r>
        <w:rPr>
          <w:rFonts w:hint="eastAsia" w:ascii="宋体" w:hAnsi="宋体" w:cs="宋体"/>
          <w:color w:val="auto"/>
          <w:kern w:val="0"/>
          <w:highlight w:val="none"/>
          <w:u w:val="single"/>
        </w:rPr>
        <w:t>重庆医科大学附属康复医院</w:t>
      </w:r>
      <w:r>
        <w:rPr>
          <w:rFonts w:hint="eastAsia" w:ascii="宋体" w:hAnsi="宋体" w:cs="宋体"/>
          <w:color w:val="auto"/>
          <w:kern w:val="0"/>
          <w:highlight w:val="none"/>
        </w:rPr>
        <w:t>，建设资金来自</w:t>
      </w:r>
      <w:r>
        <w:rPr>
          <w:rFonts w:hint="eastAsia" w:ascii="宋体" w:hAnsi="宋体" w:cs="宋体"/>
          <w:color w:val="auto"/>
          <w:kern w:val="0"/>
          <w:highlight w:val="none"/>
          <w:u w:val="single"/>
        </w:rPr>
        <w:t>自筹资金</w:t>
      </w:r>
      <w:r>
        <w:rPr>
          <w:rFonts w:hint="eastAsia" w:ascii="宋体" w:hAnsi="宋体" w:cs="宋体"/>
          <w:color w:val="auto"/>
          <w:kern w:val="0"/>
          <w:highlight w:val="none"/>
        </w:rPr>
        <w:t>。项目已具备比选条件，现对该项目的施工进行公开竞争性比选。</w:t>
      </w:r>
    </w:p>
    <w:p>
      <w:pPr>
        <w:keepNext/>
        <w:keepLines/>
        <w:spacing w:line="560" w:lineRule="exact"/>
        <w:outlineLvl w:val="1"/>
        <w:rPr>
          <w:rFonts w:ascii="宋体" w:hAnsi="宋体" w:cs="宋体"/>
          <w:b/>
          <w:bCs/>
          <w:snapToGrid w:val="0"/>
          <w:color w:val="auto"/>
          <w:sz w:val="28"/>
          <w:szCs w:val="28"/>
          <w:highlight w:val="none"/>
        </w:rPr>
      </w:pPr>
      <w:bookmarkStart w:id="20" w:name="_Toc200359428"/>
      <w:bookmarkStart w:id="21" w:name="_Toc24674"/>
      <w:bookmarkStart w:id="22" w:name="_Toc388611520"/>
      <w:bookmarkStart w:id="23" w:name="_Toc200359239"/>
      <w:bookmarkStart w:id="24" w:name="_Toc287607729"/>
      <w:bookmarkStart w:id="25" w:name="_Toc374950897"/>
      <w:bookmarkStart w:id="26" w:name="_Toc30561"/>
      <w:bookmarkStart w:id="27" w:name="_Toc533097532"/>
      <w:bookmarkStart w:id="28" w:name="_Toc32607"/>
      <w:bookmarkStart w:id="29" w:name="_Toc224103300"/>
      <w:bookmarkStart w:id="30" w:name="_Toc421694713"/>
      <w:bookmarkStart w:id="31" w:name="_Toc277082537"/>
      <w:bookmarkStart w:id="32" w:name="_Toc32145"/>
      <w:bookmarkStart w:id="33" w:name="_Toc347847758"/>
      <w:bookmarkStart w:id="34" w:name="_Toc9823"/>
      <w:r>
        <w:rPr>
          <w:rFonts w:hint="eastAsia" w:ascii="宋体" w:hAnsi="宋体" w:cs="宋体"/>
          <w:b/>
          <w:bCs/>
          <w:snapToGrid w:val="0"/>
          <w:color w:val="auto"/>
          <w:sz w:val="28"/>
          <w:szCs w:val="28"/>
          <w:highlight w:val="none"/>
        </w:rPr>
        <w:t>2. 项目概况与比选范围</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spacing w:line="480" w:lineRule="exact"/>
        <w:jc w:val="left"/>
        <w:rPr>
          <w:rFonts w:ascii="宋体" w:hAnsi="宋体" w:cs="宋体"/>
          <w:snapToGrid w:val="0"/>
          <w:color w:val="auto"/>
          <w:kern w:val="0"/>
          <w:szCs w:val="21"/>
          <w:highlight w:val="none"/>
        </w:rPr>
      </w:pPr>
      <w:bookmarkStart w:id="35" w:name="_Toc200359240"/>
      <w:bookmarkStart w:id="36" w:name="_Toc200359429"/>
      <w:bookmarkStart w:id="37" w:name="_Toc277082538"/>
      <w:bookmarkStart w:id="38" w:name="_Toc224103301"/>
      <w:bookmarkStart w:id="39" w:name="_Toc347847759"/>
      <w:bookmarkStart w:id="40" w:name="_Toc287607730"/>
      <w:r>
        <w:rPr>
          <w:rFonts w:hint="eastAsia" w:ascii="宋体" w:hAnsi="宋体" w:cs="宋体"/>
          <w:snapToGrid w:val="0"/>
          <w:color w:val="auto"/>
          <w:kern w:val="0"/>
          <w:szCs w:val="21"/>
          <w:highlight w:val="none"/>
        </w:rPr>
        <w:tab/>
      </w:r>
      <w:r>
        <w:rPr>
          <w:rFonts w:hint="eastAsia" w:ascii="宋体" w:hAnsi="宋体" w:cs="宋体"/>
          <w:snapToGrid w:val="0"/>
          <w:color w:val="auto"/>
          <w:kern w:val="0"/>
          <w:szCs w:val="21"/>
          <w:highlight w:val="none"/>
        </w:rPr>
        <w:t>2.1 建设地点：</w:t>
      </w:r>
      <w:r>
        <w:rPr>
          <w:rFonts w:hint="eastAsia" w:ascii="宋体" w:hAnsi="宋体" w:cs="宋体"/>
          <w:color w:val="auto"/>
          <w:kern w:val="0"/>
          <w:highlight w:val="none"/>
        </w:rPr>
        <w:t>重庆市九龙坡区谢家湾文化七村50号。</w:t>
      </w:r>
    </w:p>
    <w:p>
      <w:pPr>
        <w:widowControl/>
        <w:spacing w:line="48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 工程规模：本工程为重庆医科大学附属康复医院住院部1-4楼公共卫生间改造项目，施工面积约195㎡。</w:t>
      </w:r>
    </w:p>
    <w:p>
      <w:pPr>
        <w:widowControl/>
        <w:spacing w:line="48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2.3 计划工期： </w:t>
      </w:r>
      <w:r>
        <w:rPr>
          <w:rFonts w:hint="eastAsia" w:ascii="宋体" w:hAnsi="宋体" w:cs="宋体"/>
          <w:snapToGrid w:val="0"/>
          <w:color w:val="auto"/>
          <w:kern w:val="0"/>
          <w:szCs w:val="21"/>
          <w:highlight w:val="none"/>
          <w:lang w:eastAsia="zh-CN"/>
        </w:rPr>
        <w:t>90日历天</w:t>
      </w:r>
      <w:r>
        <w:rPr>
          <w:rFonts w:hint="eastAsia" w:ascii="宋体" w:hAnsi="宋体" w:cs="宋体"/>
          <w:snapToGrid w:val="0"/>
          <w:color w:val="auto"/>
          <w:kern w:val="0"/>
          <w:szCs w:val="21"/>
          <w:highlight w:val="none"/>
        </w:rPr>
        <w:t>（先完成全部女卫生间，后完成全部男卫生间）。</w:t>
      </w:r>
    </w:p>
    <w:p>
      <w:pPr>
        <w:widowControl/>
        <w:spacing w:line="48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2.4 比选范围：</w:t>
      </w:r>
      <w:bookmarkStart w:id="41" w:name="_Toc421694714"/>
      <w:bookmarkStart w:id="42" w:name="_Toc374950898"/>
      <w:bookmarkStart w:id="43" w:name="_Toc388611521"/>
      <w:r>
        <w:rPr>
          <w:rFonts w:hint="eastAsia" w:ascii="宋体" w:hAnsi="宋体" w:cs="宋体"/>
          <w:color w:val="auto"/>
          <w:kern w:val="0"/>
          <w:highlight w:val="none"/>
        </w:rPr>
        <w:t>施工图内的所有内容具体工程内容详见施工设计图及工程量清单（施工设计图与工程量清单不一致时，以工程量清单为准）。</w:t>
      </w:r>
    </w:p>
    <w:p>
      <w:pPr>
        <w:widowControl/>
        <w:spacing w:line="48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2.5 其他：</w:t>
      </w:r>
    </w:p>
    <w:p>
      <w:pPr>
        <w:widowControl/>
        <w:spacing w:line="48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2.5.1通风设施由招标人另行委托厂家安装，投标人负责协调安装，不另收取协调费。</w:t>
      </w:r>
    </w:p>
    <w:p>
      <w:pPr>
        <w:widowControl/>
        <w:spacing w:line="480" w:lineRule="exact"/>
        <w:jc w:val="left"/>
        <w:outlineLvl w:val="1"/>
        <w:rPr>
          <w:rFonts w:ascii="宋体" w:hAnsi="宋体" w:cs="宋体"/>
          <w:b/>
          <w:bCs/>
          <w:snapToGrid w:val="0"/>
          <w:color w:val="auto"/>
          <w:sz w:val="28"/>
          <w:szCs w:val="28"/>
          <w:highlight w:val="none"/>
        </w:rPr>
      </w:pPr>
      <w:bookmarkStart w:id="44" w:name="_Toc4068"/>
      <w:r>
        <w:rPr>
          <w:rFonts w:hint="eastAsia" w:ascii="宋体" w:hAnsi="宋体" w:cs="宋体"/>
          <w:b/>
          <w:bCs/>
          <w:snapToGrid w:val="0"/>
          <w:color w:val="auto"/>
          <w:sz w:val="28"/>
          <w:szCs w:val="28"/>
          <w:highlight w:val="none"/>
        </w:rPr>
        <w:t>3. 竞选人资格要求</w:t>
      </w:r>
      <w:bookmarkEnd w:id="35"/>
      <w:bookmarkEnd w:id="36"/>
      <w:bookmarkEnd w:id="37"/>
      <w:bookmarkEnd w:id="38"/>
      <w:bookmarkEnd w:id="39"/>
      <w:bookmarkEnd w:id="40"/>
      <w:bookmarkEnd w:id="41"/>
      <w:bookmarkEnd w:id="42"/>
      <w:bookmarkEnd w:id="43"/>
      <w:bookmarkEnd w:id="44"/>
    </w:p>
    <w:p>
      <w:pPr>
        <w:widowControl/>
        <w:spacing w:line="48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3.1本次比选要求竞选人须具备建设行政主管部门颁发的</w:t>
      </w:r>
      <w:r>
        <w:rPr>
          <w:rFonts w:hint="eastAsia" w:ascii="宋体" w:hAnsi="宋体" w:cs="宋体"/>
          <w:b/>
          <w:snapToGrid w:val="0"/>
          <w:color w:val="auto"/>
          <w:kern w:val="0"/>
          <w:szCs w:val="21"/>
          <w:highlight w:val="none"/>
          <w:u w:val="single"/>
        </w:rPr>
        <w:t>建筑工程施工总承包叁级及以上资质或建筑装修装饰工程专业承包贰级及以上资质</w:t>
      </w:r>
      <w:r>
        <w:rPr>
          <w:rFonts w:hint="eastAsia" w:ascii="宋体" w:hAnsi="宋体" w:cs="宋体"/>
          <w:snapToGrid w:val="0"/>
          <w:color w:val="auto"/>
          <w:kern w:val="0"/>
          <w:szCs w:val="21"/>
          <w:highlight w:val="none"/>
        </w:rPr>
        <w:t>，并在人员、设备、资金等方面具有相应的施工能力。</w:t>
      </w:r>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color w:val="auto"/>
          <w:sz w:val="24"/>
          <w:highlight w:val="none"/>
        </w:rPr>
      </w:pPr>
      <w:r>
        <w:rPr>
          <w:rFonts w:hint="eastAsia" w:ascii="宋体" w:hAnsi="宋体" w:cs="宋体"/>
          <w:snapToGrid w:val="0"/>
          <w:color w:val="auto"/>
          <w:kern w:val="0"/>
          <w:szCs w:val="21"/>
          <w:highlight w:val="none"/>
        </w:rPr>
        <w:t>3.2  按照《关于印发市外建筑施工企业入渝信息报送管理办法的通知》（渝建发【2016】22号）规定，2016年5月1日起，重庆市外建筑施工企业在比选前须纳入市城乡建委“市外建筑施工企业入渝信息库”。</w:t>
      </w:r>
    </w:p>
    <w:p>
      <w:pPr>
        <w:tabs>
          <w:tab w:val="left" w:pos="3045"/>
          <w:tab w:val="left" w:pos="8310"/>
        </w:tabs>
        <w:autoSpaceDE w:val="0"/>
        <w:autoSpaceDN w:val="0"/>
        <w:adjustRightInd w:val="0"/>
        <w:snapToGrid w:val="0"/>
        <w:spacing w:line="48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3.3  本次比选 </w:t>
      </w:r>
      <w:r>
        <w:rPr>
          <w:rFonts w:hint="eastAsia" w:ascii="宋体" w:hAnsi="宋体" w:cs="宋体"/>
          <w:snapToGrid w:val="0"/>
          <w:color w:val="auto"/>
          <w:kern w:val="0"/>
          <w:szCs w:val="21"/>
          <w:highlight w:val="none"/>
          <w:u w:val="single"/>
        </w:rPr>
        <w:t xml:space="preserve">不接受 </w:t>
      </w:r>
      <w:r>
        <w:rPr>
          <w:rFonts w:hint="eastAsia" w:ascii="宋体" w:hAnsi="宋体" w:cs="宋体"/>
          <w:snapToGrid w:val="0"/>
          <w:color w:val="auto"/>
          <w:kern w:val="0"/>
          <w:szCs w:val="21"/>
          <w:highlight w:val="none"/>
        </w:rPr>
        <w:t>联合体参加。</w:t>
      </w:r>
    </w:p>
    <w:p>
      <w:pPr>
        <w:keepNext/>
        <w:keepLines/>
        <w:spacing w:line="560" w:lineRule="exact"/>
        <w:outlineLvl w:val="1"/>
        <w:rPr>
          <w:rFonts w:ascii="宋体" w:hAnsi="宋体" w:cs="宋体"/>
          <w:b/>
          <w:bCs/>
          <w:snapToGrid w:val="0"/>
          <w:color w:val="auto"/>
          <w:sz w:val="28"/>
          <w:szCs w:val="28"/>
          <w:highlight w:val="none"/>
        </w:rPr>
      </w:pPr>
      <w:bookmarkStart w:id="45" w:name="_Toc421694715"/>
      <w:bookmarkStart w:id="46" w:name="_Toc224103302"/>
      <w:bookmarkStart w:id="47" w:name="_Toc347847760"/>
      <w:bookmarkStart w:id="48" w:name="_Toc287607731"/>
      <w:bookmarkStart w:id="49" w:name="_Toc23820"/>
      <w:bookmarkStart w:id="50" w:name="_Toc388611522"/>
      <w:bookmarkStart w:id="51" w:name="_Toc200359430"/>
      <w:bookmarkStart w:id="52" w:name="_Toc28939"/>
      <w:bookmarkStart w:id="53" w:name="_Toc32173"/>
      <w:bookmarkStart w:id="54" w:name="_Toc23898"/>
      <w:bookmarkStart w:id="55" w:name="_Toc533097533"/>
      <w:bookmarkStart w:id="56" w:name="_Toc200359241"/>
      <w:bookmarkStart w:id="57" w:name="_Toc374950899"/>
      <w:bookmarkStart w:id="58" w:name="_Toc12693"/>
      <w:bookmarkStart w:id="59" w:name="_Toc277082539"/>
      <w:r>
        <w:rPr>
          <w:rFonts w:hint="eastAsia" w:ascii="宋体" w:hAnsi="宋体" w:cs="宋体"/>
          <w:b/>
          <w:bCs/>
          <w:snapToGrid w:val="0"/>
          <w:color w:val="auto"/>
          <w:sz w:val="28"/>
          <w:szCs w:val="28"/>
          <w:highlight w:val="none"/>
        </w:rPr>
        <w:t>4. 竞争性比选文件的获取</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snapToGrid w:val="0"/>
          <w:color w:val="auto"/>
          <w:kern w:val="0"/>
          <w:szCs w:val="21"/>
          <w:highlight w:val="none"/>
        </w:rPr>
      </w:pPr>
      <w:bookmarkStart w:id="60" w:name="_Toc374950900"/>
      <w:bookmarkStart w:id="61" w:name="_Toc287607732"/>
      <w:bookmarkStart w:id="62" w:name="_Toc388611523"/>
      <w:bookmarkStart w:id="63" w:name="_Toc200359242"/>
      <w:bookmarkStart w:id="64" w:name="_Toc421694716"/>
      <w:bookmarkStart w:id="65" w:name="_Toc200359431"/>
      <w:bookmarkStart w:id="66" w:name="_Toc224103303"/>
      <w:bookmarkStart w:id="67" w:name="_Toc347847761"/>
      <w:bookmarkStart w:id="68" w:name="_Toc23765"/>
      <w:bookmarkStart w:id="69" w:name="_Toc277082540"/>
      <w:bookmarkStart w:id="70" w:name="_Toc16384"/>
      <w:bookmarkStart w:id="71" w:name="_Toc4835"/>
      <w:r>
        <w:rPr>
          <w:rFonts w:hint="eastAsia" w:ascii="宋体" w:hAnsi="宋体" w:cs="宋体"/>
          <w:snapToGrid w:val="0"/>
          <w:color w:val="auto"/>
          <w:kern w:val="0"/>
          <w:szCs w:val="21"/>
          <w:highlight w:val="none"/>
        </w:rPr>
        <w:t>4.1凡有意参加比选者，请于</w:t>
      </w:r>
      <w:r>
        <w:rPr>
          <w:rFonts w:hint="eastAsia" w:ascii="宋体" w:hAnsi="宋体" w:cs="宋体"/>
          <w:b/>
          <w:bCs/>
          <w:snapToGrid w:val="0"/>
          <w:color w:val="auto"/>
          <w:kern w:val="0"/>
          <w:szCs w:val="21"/>
          <w:highlight w:val="none"/>
          <w:u w:val="single"/>
        </w:rPr>
        <w:t>2020</w:t>
      </w:r>
      <w:r>
        <w:rPr>
          <w:rFonts w:hint="eastAsia" w:ascii="宋体" w:hAnsi="宋体" w:cs="宋体"/>
          <w:b/>
          <w:bCs/>
          <w:snapToGrid w:val="0"/>
          <w:color w:val="auto"/>
          <w:kern w:val="0"/>
          <w:szCs w:val="21"/>
          <w:highlight w:val="none"/>
        </w:rPr>
        <w:t>年</w:t>
      </w:r>
      <w:r>
        <w:rPr>
          <w:rFonts w:hint="eastAsia" w:ascii="宋体" w:hAnsi="宋体" w:cs="宋体"/>
          <w:b/>
          <w:bCs/>
          <w:snapToGrid w:val="0"/>
          <w:color w:val="auto"/>
          <w:kern w:val="0"/>
          <w:szCs w:val="21"/>
          <w:highlight w:val="none"/>
          <w:lang w:val="en-US" w:eastAsia="zh-CN"/>
        </w:rPr>
        <w:t>9</w:t>
      </w:r>
      <w:r>
        <w:rPr>
          <w:rFonts w:hint="eastAsia" w:ascii="宋体" w:hAnsi="宋体" w:cs="宋体"/>
          <w:b/>
          <w:bCs/>
          <w:snapToGrid w:val="0"/>
          <w:color w:val="auto"/>
          <w:kern w:val="0"/>
          <w:szCs w:val="21"/>
          <w:highlight w:val="none"/>
        </w:rPr>
        <w:t xml:space="preserve">月 </w:t>
      </w:r>
      <w:r>
        <w:rPr>
          <w:rFonts w:hint="eastAsia" w:ascii="宋体" w:hAnsi="宋体" w:cs="宋体"/>
          <w:b/>
          <w:bCs/>
          <w:snapToGrid w:val="0"/>
          <w:color w:val="auto"/>
          <w:kern w:val="0"/>
          <w:szCs w:val="21"/>
          <w:highlight w:val="none"/>
          <w:lang w:val="en-US" w:eastAsia="zh-CN"/>
        </w:rPr>
        <w:t>4</w:t>
      </w:r>
      <w:r>
        <w:rPr>
          <w:rFonts w:hint="eastAsia" w:ascii="宋体" w:hAnsi="宋体" w:cs="宋体"/>
          <w:b/>
          <w:bCs/>
          <w:snapToGrid w:val="0"/>
          <w:color w:val="auto"/>
          <w:kern w:val="0"/>
          <w:szCs w:val="21"/>
          <w:highlight w:val="none"/>
        </w:rPr>
        <w:t>日</w:t>
      </w:r>
      <w:r>
        <w:rPr>
          <w:rFonts w:hint="eastAsia" w:ascii="宋体" w:hAnsi="宋体" w:cs="宋体"/>
          <w:snapToGrid w:val="0"/>
          <w:color w:val="auto"/>
          <w:kern w:val="0"/>
          <w:szCs w:val="21"/>
          <w:highlight w:val="none"/>
        </w:rPr>
        <w:t xml:space="preserve">起，在“行采家”下载本工程的竞争性比选文件、施工设计图、工程量清单、最高限价、补遗及答疑等所有资料。不论竞选人下载与否，都视为竞选人收到以上资料并全部知晓有关比选过程和事宜，由此产生的一切后果由竞选人自负。                                                                    </w:t>
      </w:r>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 竞争性比选文件每套售价</w:t>
      </w:r>
      <w:r>
        <w:rPr>
          <w:rFonts w:hint="eastAsia" w:ascii="宋体" w:hAnsi="宋体" w:cs="宋体"/>
          <w:snapToGrid w:val="0"/>
          <w:color w:val="auto"/>
          <w:kern w:val="0"/>
          <w:szCs w:val="21"/>
          <w:highlight w:val="none"/>
          <w:u w:val="single"/>
        </w:rPr>
        <w:t>500</w:t>
      </w:r>
      <w:r>
        <w:rPr>
          <w:rFonts w:hint="eastAsia" w:ascii="宋体" w:hAnsi="宋体" w:cs="宋体"/>
          <w:snapToGrid w:val="0"/>
          <w:color w:val="auto"/>
          <w:kern w:val="0"/>
          <w:szCs w:val="21"/>
          <w:highlight w:val="none"/>
        </w:rPr>
        <w:t>元（含工程量清单、图纸等电子资料），售后不退。竞选人递交竞选文件时现金支付购买比选文件的费用，否则比选人和比选代理机构将拒绝接收其竞选文件。</w:t>
      </w:r>
    </w:p>
    <w:p>
      <w:pPr>
        <w:keepNext/>
        <w:keepLines/>
        <w:spacing w:line="560" w:lineRule="exact"/>
        <w:outlineLvl w:val="1"/>
        <w:rPr>
          <w:rFonts w:ascii="宋体" w:hAnsi="宋体" w:cs="宋体"/>
          <w:b/>
          <w:bCs/>
          <w:snapToGrid w:val="0"/>
          <w:color w:val="auto"/>
          <w:sz w:val="28"/>
          <w:szCs w:val="28"/>
          <w:highlight w:val="none"/>
        </w:rPr>
      </w:pPr>
      <w:bookmarkStart w:id="72" w:name="_Toc533097534"/>
      <w:bookmarkStart w:id="73" w:name="_Toc14089"/>
      <w:bookmarkStart w:id="74" w:name="_Toc8787"/>
      <w:r>
        <w:rPr>
          <w:rFonts w:hint="eastAsia" w:ascii="宋体" w:hAnsi="宋体" w:cs="宋体"/>
          <w:b/>
          <w:bCs/>
          <w:snapToGrid w:val="0"/>
          <w:color w:val="auto"/>
          <w:sz w:val="28"/>
          <w:szCs w:val="28"/>
          <w:highlight w:val="none"/>
        </w:rPr>
        <w:t>5.</w:t>
      </w:r>
      <w:bookmarkEnd w:id="60"/>
      <w:bookmarkEnd w:id="61"/>
      <w:bookmarkEnd w:id="62"/>
      <w:bookmarkEnd w:id="63"/>
      <w:bookmarkEnd w:id="64"/>
      <w:bookmarkEnd w:id="65"/>
      <w:bookmarkEnd w:id="66"/>
      <w:bookmarkEnd w:id="67"/>
      <w:bookmarkEnd w:id="68"/>
      <w:bookmarkEnd w:id="69"/>
      <w:r>
        <w:rPr>
          <w:rFonts w:hint="eastAsia" w:ascii="宋体" w:hAnsi="宋体" w:cs="宋体"/>
          <w:b/>
          <w:bCs/>
          <w:snapToGrid w:val="0"/>
          <w:color w:val="auto"/>
          <w:sz w:val="28"/>
          <w:szCs w:val="28"/>
          <w:highlight w:val="none"/>
        </w:rPr>
        <w:t>比选截止时间、开标时间和地点</w:t>
      </w:r>
      <w:bookmarkEnd w:id="70"/>
      <w:bookmarkEnd w:id="71"/>
      <w:bookmarkEnd w:id="72"/>
      <w:bookmarkEnd w:id="73"/>
      <w:bookmarkEnd w:id="74"/>
    </w:p>
    <w:p>
      <w:pPr>
        <w:tabs>
          <w:tab w:val="left" w:pos="2000"/>
          <w:tab w:val="left" w:pos="5580"/>
          <w:tab w:val="left" w:pos="6220"/>
          <w:tab w:val="left" w:pos="6840"/>
          <w:tab w:val="left" w:pos="7460"/>
          <w:tab w:val="left" w:pos="8100"/>
        </w:tabs>
        <w:autoSpaceDE w:val="0"/>
        <w:autoSpaceDN w:val="0"/>
        <w:adjustRightInd w:val="0"/>
        <w:snapToGrid w:val="0"/>
        <w:spacing w:line="500" w:lineRule="exact"/>
        <w:ind w:left="210" w:leftChars="100" w:firstLine="210" w:firstLineChars="10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5.1  比选截止时间和开标时间</w:t>
      </w:r>
      <w:r>
        <w:rPr>
          <w:rFonts w:hint="eastAsia" w:ascii="宋体" w:hAnsi="宋体" w:cs="宋体"/>
          <w:b/>
          <w:bCs/>
          <w:snapToGrid w:val="0"/>
          <w:color w:val="auto"/>
          <w:kern w:val="0"/>
          <w:szCs w:val="21"/>
          <w:highlight w:val="none"/>
        </w:rPr>
        <w:t>2020年</w:t>
      </w:r>
      <w:r>
        <w:rPr>
          <w:rFonts w:hint="eastAsia" w:ascii="宋体" w:hAnsi="宋体" w:cs="宋体"/>
          <w:b/>
          <w:bCs/>
          <w:snapToGrid w:val="0"/>
          <w:color w:val="auto"/>
          <w:kern w:val="0"/>
          <w:szCs w:val="21"/>
          <w:highlight w:val="none"/>
          <w:lang w:val="en-US" w:eastAsia="zh-CN"/>
        </w:rPr>
        <w:t>9</w:t>
      </w:r>
      <w:r>
        <w:rPr>
          <w:rFonts w:hint="eastAsia" w:ascii="宋体" w:hAnsi="宋体" w:cs="宋体"/>
          <w:b/>
          <w:bCs/>
          <w:snapToGrid w:val="0"/>
          <w:color w:val="auto"/>
          <w:kern w:val="0"/>
          <w:szCs w:val="21"/>
          <w:highlight w:val="none"/>
        </w:rPr>
        <w:t>月</w:t>
      </w:r>
      <w:r>
        <w:rPr>
          <w:rFonts w:hint="eastAsia" w:ascii="宋体" w:hAnsi="宋体" w:cs="宋体"/>
          <w:b/>
          <w:bCs/>
          <w:snapToGrid w:val="0"/>
          <w:color w:val="auto"/>
          <w:kern w:val="0"/>
          <w:szCs w:val="21"/>
          <w:highlight w:val="none"/>
          <w:lang w:val="en-US" w:eastAsia="zh-CN"/>
        </w:rPr>
        <w:t>10</w:t>
      </w:r>
      <w:r>
        <w:rPr>
          <w:rFonts w:hint="eastAsia" w:ascii="宋体" w:hAnsi="宋体" w:cs="宋体"/>
          <w:b/>
          <w:bCs/>
          <w:snapToGrid w:val="0"/>
          <w:color w:val="auto"/>
          <w:kern w:val="0"/>
          <w:szCs w:val="21"/>
          <w:highlight w:val="none"/>
        </w:rPr>
        <w:t>日1</w:t>
      </w:r>
      <w:r>
        <w:rPr>
          <w:rFonts w:hint="eastAsia" w:ascii="宋体" w:hAnsi="宋体" w:cs="宋体"/>
          <w:b/>
          <w:bCs/>
          <w:snapToGrid w:val="0"/>
          <w:color w:val="auto"/>
          <w:kern w:val="0"/>
          <w:szCs w:val="21"/>
          <w:highlight w:val="none"/>
          <w:lang w:val="en-US" w:eastAsia="zh-CN"/>
        </w:rPr>
        <w:t>0</w:t>
      </w:r>
      <w:r>
        <w:rPr>
          <w:rFonts w:hint="eastAsia" w:ascii="宋体" w:hAnsi="宋体" w:cs="宋体"/>
          <w:b/>
          <w:bCs/>
          <w:snapToGrid w:val="0"/>
          <w:color w:val="auto"/>
          <w:kern w:val="0"/>
          <w:szCs w:val="21"/>
          <w:highlight w:val="none"/>
        </w:rPr>
        <w:t xml:space="preserve"> 时</w:t>
      </w:r>
      <w:r>
        <w:rPr>
          <w:rFonts w:hint="eastAsia" w:ascii="宋体" w:hAnsi="宋体" w:cs="宋体"/>
          <w:b/>
          <w:bCs/>
          <w:snapToGrid w:val="0"/>
          <w:color w:val="auto"/>
          <w:kern w:val="0"/>
          <w:szCs w:val="21"/>
          <w:highlight w:val="none"/>
          <w:lang w:val="en-US" w:eastAsia="zh-CN"/>
        </w:rPr>
        <w:t>0</w:t>
      </w:r>
      <w:r>
        <w:rPr>
          <w:rFonts w:hint="eastAsia" w:ascii="宋体" w:hAnsi="宋体" w:cs="宋体"/>
          <w:b/>
          <w:bCs/>
          <w:snapToGrid w:val="0"/>
          <w:color w:val="auto"/>
          <w:kern w:val="0"/>
          <w:szCs w:val="21"/>
          <w:highlight w:val="none"/>
        </w:rPr>
        <w:t>0分（北京时间）</w:t>
      </w:r>
      <w:r>
        <w:rPr>
          <w:rFonts w:hint="eastAsia" w:ascii="宋体" w:hAnsi="宋体" w:cs="宋体"/>
          <w:snapToGrid w:val="0"/>
          <w:color w:val="auto"/>
          <w:kern w:val="0"/>
          <w:szCs w:val="21"/>
          <w:highlight w:val="none"/>
        </w:rPr>
        <w:t>，递交竞选文件的时间为</w:t>
      </w:r>
      <w:r>
        <w:rPr>
          <w:rFonts w:hint="eastAsia" w:ascii="宋体" w:hAnsi="宋体" w:cs="宋体"/>
          <w:b/>
          <w:bCs/>
          <w:snapToGrid w:val="0"/>
          <w:color w:val="auto"/>
          <w:kern w:val="0"/>
          <w:szCs w:val="21"/>
          <w:highlight w:val="none"/>
        </w:rPr>
        <w:t>2020 年</w:t>
      </w:r>
      <w:r>
        <w:rPr>
          <w:rFonts w:hint="eastAsia" w:ascii="宋体" w:hAnsi="宋体" w:cs="宋体"/>
          <w:b/>
          <w:bCs/>
          <w:snapToGrid w:val="0"/>
          <w:color w:val="auto"/>
          <w:kern w:val="0"/>
          <w:szCs w:val="21"/>
          <w:highlight w:val="none"/>
          <w:lang w:val="en-US" w:eastAsia="zh-CN"/>
        </w:rPr>
        <w:t>9</w:t>
      </w:r>
      <w:r>
        <w:rPr>
          <w:rFonts w:hint="eastAsia" w:ascii="宋体" w:hAnsi="宋体" w:cs="宋体"/>
          <w:b/>
          <w:bCs/>
          <w:snapToGrid w:val="0"/>
          <w:color w:val="auto"/>
          <w:kern w:val="0"/>
          <w:szCs w:val="21"/>
          <w:highlight w:val="none"/>
        </w:rPr>
        <w:t>月</w:t>
      </w:r>
      <w:r>
        <w:rPr>
          <w:rFonts w:hint="eastAsia" w:ascii="宋体" w:hAnsi="宋体" w:cs="宋体"/>
          <w:b/>
          <w:bCs/>
          <w:snapToGrid w:val="0"/>
          <w:color w:val="auto"/>
          <w:kern w:val="0"/>
          <w:szCs w:val="21"/>
          <w:highlight w:val="none"/>
          <w:lang w:val="en-US" w:eastAsia="zh-CN"/>
        </w:rPr>
        <w:t>10</w:t>
      </w:r>
      <w:r>
        <w:rPr>
          <w:rFonts w:hint="eastAsia" w:ascii="宋体" w:hAnsi="宋体" w:cs="宋体"/>
          <w:b/>
          <w:bCs/>
          <w:snapToGrid w:val="0"/>
          <w:color w:val="auto"/>
          <w:kern w:val="0"/>
          <w:szCs w:val="21"/>
          <w:highlight w:val="none"/>
        </w:rPr>
        <w:t>日</w:t>
      </w:r>
      <w:r>
        <w:rPr>
          <w:rFonts w:hint="eastAsia" w:ascii="宋体" w:hAnsi="宋体" w:cs="宋体"/>
          <w:b/>
          <w:bCs/>
          <w:snapToGrid w:val="0"/>
          <w:color w:val="auto"/>
          <w:kern w:val="0"/>
          <w:szCs w:val="21"/>
          <w:highlight w:val="none"/>
          <w:lang w:val="en-US" w:eastAsia="zh-CN"/>
        </w:rPr>
        <w:t>09</w:t>
      </w:r>
      <w:r>
        <w:rPr>
          <w:rFonts w:hint="eastAsia" w:ascii="宋体" w:hAnsi="宋体" w:cs="宋体"/>
          <w:b/>
          <w:bCs/>
          <w:snapToGrid w:val="0"/>
          <w:color w:val="auto"/>
          <w:kern w:val="0"/>
          <w:szCs w:val="21"/>
          <w:highlight w:val="none"/>
        </w:rPr>
        <w:t>时</w:t>
      </w:r>
      <w:r>
        <w:rPr>
          <w:rFonts w:hint="eastAsia" w:ascii="宋体" w:hAnsi="宋体" w:cs="宋体"/>
          <w:b/>
          <w:bCs/>
          <w:snapToGrid w:val="0"/>
          <w:color w:val="auto"/>
          <w:kern w:val="0"/>
          <w:szCs w:val="21"/>
          <w:highlight w:val="none"/>
          <w:lang w:val="en-US" w:eastAsia="zh-CN"/>
        </w:rPr>
        <w:t>3</w:t>
      </w:r>
      <w:r>
        <w:rPr>
          <w:rFonts w:hint="eastAsia" w:ascii="宋体" w:hAnsi="宋体" w:cs="宋体"/>
          <w:b/>
          <w:bCs/>
          <w:snapToGrid w:val="0"/>
          <w:color w:val="auto"/>
          <w:kern w:val="0"/>
          <w:szCs w:val="21"/>
          <w:highlight w:val="none"/>
        </w:rPr>
        <w:t>0分（北京时间）至2020 年</w:t>
      </w:r>
      <w:r>
        <w:rPr>
          <w:rFonts w:hint="eastAsia" w:ascii="宋体" w:hAnsi="宋体" w:cs="宋体"/>
          <w:b/>
          <w:bCs/>
          <w:snapToGrid w:val="0"/>
          <w:color w:val="auto"/>
          <w:kern w:val="0"/>
          <w:szCs w:val="21"/>
          <w:highlight w:val="none"/>
          <w:lang w:val="en-US" w:eastAsia="zh-CN"/>
        </w:rPr>
        <w:t>9</w:t>
      </w:r>
      <w:r>
        <w:rPr>
          <w:rFonts w:hint="eastAsia" w:ascii="宋体" w:hAnsi="宋体" w:cs="宋体"/>
          <w:b/>
          <w:bCs/>
          <w:snapToGrid w:val="0"/>
          <w:color w:val="auto"/>
          <w:kern w:val="0"/>
          <w:szCs w:val="21"/>
          <w:highlight w:val="none"/>
        </w:rPr>
        <w:t>月</w:t>
      </w:r>
      <w:r>
        <w:rPr>
          <w:rFonts w:hint="eastAsia" w:ascii="宋体" w:hAnsi="宋体" w:cs="宋体"/>
          <w:b/>
          <w:bCs/>
          <w:snapToGrid w:val="0"/>
          <w:color w:val="auto"/>
          <w:kern w:val="0"/>
          <w:szCs w:val="21"/>
          <w:highlight w:val="none"/>
          <w:lang w:val="en-US" w:eastAsia="zh-CN"/>
        </w:rPr>
        <w:t>10</w:t>
      </w:r>
      <w:r>
        <w:rPr>
          <w:rFonts w:hint="eastAsia" w:ascii="宋体" w:hAnsi="宋体" w:cs="宋体"/>
          <w:b/>
          <w:bCs/>
          <w:snapToGrid w:val="0"/>
          <w:color w:val="auto"/>
          <w:kern w:val="0"/>
          <w:szCs w:val="21"/>
          <w:highlight w:val="none"/>
        </w:rPr>
        <w:t>日1</w:t>
      </w:r>
      <w:r>
        <w:rPr>
          <w:rFonts w:hint="eastAsia" w:ascii="宋体" w:hAnsi="宋体" w:cs="宋体"/>
          <w:b/>
          <w:bCs/>
          <w:snapToGrid w:val="0"/>
          <w:color w:val="auto"/>
          <w:kern w:val="0"/>
          <w:szCs w:val="21"/>
          <w:highlight w:val="none"/>
          <w:lang w:val="en-US" w:eastAsia="zh-CN"/>
        </w:rPr>
        <w:t>0</w:t>
      </w:r>
      <w:r>
        <w:rPr>
          <w:rFonts w:hint="eastAsia" w:ascii="宋体" w:hAnsi="宋体" w:cs="宋体"/>
          <w:b/>
          <w:bCs/>
          <w:snapToGrid w:val="0"/>
          <w:color w:val="auto"/>
          <w:kern w:val="0"/>
          <w:szCs w:val="21"/>
          <w:highlight w:val="none"/>
        </w:rPr>
        <w:t>时</w:t>
      </w:r>
      <w:r>
        <w:rPr>
          <w:rFonts w:hint="eastAsia" w:ascii="宋体" w:hAnsi="宋体" w:cs="宋体"/>
          <w:b/>
          <w:bCs/>
          <w:snapToGrid w:val="0"/>
          <w:color w:val="auto"/>
          <w:kern w:val="0"/>
          <w:szCs w:val="21"/>
          <w:highlight w:val="none"/>
          <w:lang w:val="en-US" w:eastAsia="zh-CN"/>
        </w:rPr>
        <w:t>0</w:t>
      </w:r>
      <w:r>
        <w:rPr>
          <w:rFonts w:hint="eastAsia" w:ascii="宋体" w:hAnsi="宋体" w:cs="宋体"/>
          <w:b/>
          <w:bCs/>
          <w:snapToGrid w:val="0"/>
          <w:color w:val="auto"/>
          <w:kern w:val="0"/>
          <w:szCs w:val="21"/>
          <w:highlight w:val="none"/>
        </w:rPr>
        <w:t>0分（北京时间）</w:t>
      </w:r>
      <w:r>
        <w:rPr>
          <w:rFonts w:hint="eastAsia" w:ascii="宋体" w:hAnsi="宋体" w:cs="宋体"/>
          <w:snapToGrid w:val="0"/>
          <w:color w:val="auto"/>
          <w:kern w:val="0"/>
          <w:szCs w:val="21"/>
          <w:highlight w:val="none"/>
        </w:rPr>
        <w:t xml:space="preserve">， </w:t>
      </w:r>
      <w:r>
        <w:rPr>
          <w:rFonts w:hint="eastAsia" w:ascii="宋体" w:hAnsi="宋体" w:cs="宋体"/>
          <w:color w:val="auto"/>
          <w:kern w:val="1"/>
          <w:szCs w:val="21"/>
          <w:highlight w:val="none"/>
        </w:rPr>
        <w:t>比选地点</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新华招标有限公司重庆分公司开标室（重庆市渝北区杨柳北路9号A区501）。</w:t>
      </w:r>
    </w:p>
    <w:p>
      <w:pPr>
        <w:autoSpaceDE w:val="0"/>
        <w:autoSpaceDN w:val="0"/>
        <w:adjustRightInd w:val="0"/>
        <w:snapToGrid w:val="0"/>
        <w:spacing w:line="500" w:lineRule="exact"/>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5.2  逾期送达的或者未送达指定地点的竞选文件，比选人不予受理。</w:t>
      </w:r>
    </w:p>
    <w:p>
      <w:pPr>
        <w:keepNext/>
        <w:keepLines/>
        <w:spacing w:line="560" w:lineRule="exact"/>
        <w:outlineLvl w:val="1"/>
        <w:rPr>
          <w:rFonts w:ascii="宋体" w:hAnsi="宋体" w:cs="宋体"/>
          <w:b/>
          <w:bCs/>
          <w:snapToGrid w:val="0"/>
          <w:color w:val="auto"/>
          <w:sz w:val="28"/>
          <w:szCs w:val="28"/>
          <w:highlight w:val="none"/>
        </w:rPr>
      </w:pPr>
      <w:bookmarkStart w:id="75" w:name="_Toc27737"/>
      <w:bookmarkStart w:id="76" w:name="_Toc15935"/>
      <w:bookmarkStart w:id="77" w:name="_Toc8876"/>
      <w:bookmarkStart w:id="78" w:name="_Toc17438"/>
      <w:bookmarkStart w:id="79" w:name="_Toc200359243"/>
      <w:bookmarkStart w:id="80" w:name="_Toc3160"/>
      <w:bookmarkStart w:id="81" w:name="_Toc292875763"/>
      <w:bookmarkStart w:id="82" w:name="_Toc200359432"/>
      <w:bookmarkStart w:id="83" w:name="_Toc18618"/>
      <w:bookmarkStart w:id="84" w:name="_Toc533097535"/>
      <w:bookmarkStart w:id="85" w:name="_Toc13521"/>
      <w:bookmarkStart w:id="86" w:name="_Toc27982"/>
      <w:bookmarkStart w:id="87" w:name="_Toc5385"/>
      <w:bookmarkStart w:id="88" w:name="_Toc421694718"/>
      <w:r>
        <w:rPr>
          <w:rFonts w:hint="eastAsia" w:ascii="宋体" w:hAnsi="宋体" w:cs="宋体"/>
          <w:b/>
          <w:bCs/>
          <w:snapToGrid w:val="0"/>
          <w:color w:val="auto"/>
          <w:sz w:val="28"/>
          <w:szCs w:val="28"/>
          <w:highlight w:val="none"/>
        </w:rPr>
        <w:t>6．</w:t>
      </w:r>
      <w:bookmarkEnd w:id="75"/>
      <w:bookmarkEnd w:id="76"/>
      <w:bookmarkEnd w:id="77"/>
      <w:bookmarkEnd w:id="78"/>
      <w:bookmarkEnd w:id="79"/>
      <w:bookmarkEnd w:id="80"/>
      <w:bookmarkEnd w:id="81"/>
      <w:bookmarkEnd w:id="82"/>
      <w:r>
        <w:rPr>
          <w:rFonts w:hint="eastAsia" w:ascii="宋体" w:hAnsi="宋体" w:cs="宋体"/>
          <w:b/>
          <w:bCs/>
          <w:snapToGrid w:val="0"/>
          <w:color w:val="auto"/>
          <w:sz w:val="28"/>
          <w:szCs w:val="28"/>
          <w:highlight w:val="none"/>
        </w:rPr>
        <w:t>发布比选公告的媒介</w:t>
      </w:r>
      <w:bookmarkEnd w:id="83"/>
      <w:bookmarkEnd w:id="84"/>
      <w:bookmarkEnd w:id="85"/>
      <w:bookmarkEnd w:id="86"/>
      <w:bookmarkEnd w:id="87"/>
    </w:p>
    <w:p>
      <w:pPr>
        <w:autoSpaceDE w:val="0"/>
        <w:autoSpaceDN w:val="0"/>
        <w:adjustRightInd w:val="0"/>
        <w:snapToGrid w:val="0"/>
        <w:spacing w:line="50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本次比选公告在“行采家”网上及医院官网发布。</w:t>
      </w:r>
    </w:p>
    <w:p>
      <w:pPr>
        <w:keepNext/>
        <w:keepLines/>
        <w:spacing w:line="560" w:lineRule="exact"/>
        <w:outlineLvl w:val="1"/>
        <w:rPr>
          <w:rFonts w:ascii="宋体" w:hAnsi="宋体" w:cs="宋体"/>
          <w:b/>
          <w:bCs/>
          <w:snapToGrid w:val="0"/>
          <w:color w:val="auto"/>
          <w:sz w:val="28"/>
          <w:szCs w:val="28"/>
          <w:highlight w:val="none"/>
        </w:rPr>
      </w:pPr>
      <w:bookmarkStart w:id="89" w:name="_Toc5091"/>
      <w:bookmarkStart w:id="90" w:name="_Toc13466"/>
      <w:bookmarkStart w:id="91" w:name="_Toc533097536"/>
      <w:bookmarkStart w:id="92" w:name="_Toc18566"/>
      <w:bookmarkStart w:id="93" w:name="_Toc158"/>
      <w:bookmarkStart w:id="94" w:name="_Toc14842"/>
      <w:r>
        <w:rPr>
          <w:rFonts w:hint="eastAsia" w:ascii="宋体" w:hAnsi="宋体" w:cs="宋体"/>
          <w:b/>
          <w:bCs/>
          <w:snapToGrid w:val="0"/>
          <w:color w:val="auto"/>
          <w:sz w:val="28"/>
          <w:szCs w:val="28"/>
          <w:highlight w:val="none"/>
        </w:rPr>
        <w:t>7. 联系方式</w:t>
      </w:r>
      <w:bookmarkEnd w:id="88"/>
      <w:bookmarkEnd w:id="89"/>
      <w:bookmarkEnd w:id="90"/>
      <w:bookmarkEnd w:id="91"/>
      <w:bookmarkEnd w:id="92"/>
      <w:bookmarkEnd w:id="93"/>
      <w:bookmarkEnd w:id="94"/>
    </w:p>
    <w:p>
      <w:pPr>
        <w:tabs>
          <w:tab w:val="left" w:pos="1425"/>
        </w:tabs>
        <w:spacing w:line="560" w:lineRule="exact"/>
        <w:rPr>
          <w:rFonts w:ascii="宋体" w:hAnsi="宋体" w:cs="宋体"/>
          <w:color w:val="auto"/>
          <w:szCs w:val="21"/>
          <w:highlight w:val="none"/>
        </w:rPr>
      </w:pPr>
      <w:r>
        <w:rPr>
          <w:rFonts w:hint="eastAsia" w:ascii="宋体" w:hAnsi="宋体" w:cs="宋体"/>
          <w:color w:val="auto"/>
          <w:szCs w:val="21"/>
          <w:highlight w:val="none"/>
        </w:rPr>
        <w:t>比选人：</w:t>
      </w:r>
      <w:r>
        <w:rPr>
          <w:rFonts w:hint="eastAsia" w:ascii="宋体" w:hAnsi="宋体" w:cs="宋体"/>
          <w:color w:val="auto"/>
          <w:szCs w:val="21"/>
          <w:highlight w:val="none"/>
          <w:lang w:eastAsia="zh-CN"/>
        </w:rPr>
        <w:t>重庆医科大学附属康复医院</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比选代理机构：新华招标有限公司重庆分公司</w:t>
      </w:r>
    </w:p>
    <w:p>
      <w:pPr>
        <w:tabs>
          <w:tab w:val="left" w:pos="1425"/>
        </w:tabs>
        <w:spacing w:line="560" w:lineRule="exact"/>
        <w:ind w:left="5252" w:leftChars="10" w:hanging="5231" w:hangingChars="2491"/>
        <w:rPr>
          <w:rFonts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九龙坡区谢家湾文化七村</w:t>
      </w:r>
      <w:r>
        <w:rPr>
          <w:rFonts w:hint="eastAsia" w:ascii="宋体" w:hAnsi="宋体" w:cs="宋体"/>
          <w:color w:val="auto"/>
          <w:kern w:val="0"/>
          <w:szCs w:val="21"/>
          <w:highlight w:val="none"/>
          <w:lang w:val="en-US" w:eastAsia="zh-CN"/>
        </w:rPr>
        <w:t>50号</w:t>
      </w:r>
      <w:r>
        <w:rPr>
          <w:rFonts w:hint="eastAsia" w:ascii="宋体" w:hAnsi="宋体" w:cs="宋体"/>
          <w:color w:val="auto"/>
          <w:kern w:val="0"/>
          <w:szCs w:val="21"/>
          <w:highlight w:val="none"/>
        </w:rPr>
        <w:t xml:space="preserve">        地  址：重庆市渝北区杨柳北路力华科谷A区501</w:t>
      </w:r>
    </w:p>
    <w:p>
      <w:pPr>
        <w:tabs>
          <w:tab w:val="left" w:pos="1425"/>
        </w:tabs>
        <w:spacing w:line="560" w:lineRule="exact"/>
        <w:ind w:left="5252" w:leftChars="10" w:hanging="5231" w:hangingChars="2491"/>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eastAsia="zh-CN"/>
        </w:rPr>
        <w:t>：冯</w:t>
      </w:r>
      <w:r>
        <w:rPr>
          <w:rFonts w:hint="eastAsia" w:ascii="宋体" w:hAnsi="宋体" w:cs="宋体"/>
          <w:color w:val="auto"/>
          <w:kern w:val="0"/>
          <w:szCs w:val="21"/>
          <w:highlight w:val="none"/>
        </w:rPr>
        <w:t xml:space="preserve">老师                             联系人：龚老师 </w:t>
      </w:r>
    </w:p>
    <w:p>
      <w:pPr>
        <w:tabs>
          <w:tab w:val="left" w:pos="1425"/>
        </w:tabs>
        <w:spacing w:line="560" w:lineRule="exact"/>
        <w:ind w:left="5252" w:leftChars="10" w:hanging="5231" w:hangingChars="2491"/>
        <w:rPr>
          <w:rFonts w:ascii="宋体" w:hAnsi="宋体" w:cs="宋体"/>
          <w:color w:val="auto"/>
          <w:kern w:val="0"/>
          <w:szCs w:val="21"/>
          <w:highlight w:val="none"/>
        </w:rPr>
      </w:pPr>
      <w:r>
        <w:rPr>
          <w:rFonts w:hint="eastAsia" w:ascii="宋体" w:hAnsi="宋体" w:cs="宋体"/>
          <w:color w:val="auto"/>
          <w:kern w:val="0"/>
          <w:szCs w:val="21"/>
          <w:highlight w:val="none"/>
        </w:rPr>
        <w:t>电  话： 023-68</w:t>
      </w:r>
      <w:r>
        <w:rPr>
          <w:rFonts w:hint="eastAsia" w:ascii="宋体" w:hAnsi="宋体" w:cs="宋体"/>
          <w:color w:val="auto"/>
          <w:kern w:val="0"/>
          <w:szCs w:val="21"/>
          <w:highlight w:val="none"/>
          <w:lang w:val="en-US" w:eastAsia="zh-CN"/>
        </w:rPr>
        <w:t>823284</w:t>
      </w:r>
      <w:r>
        <w:rPr>
          <w:rFonts w:hint="eastAsia" w:ascii="宋体" w:hAnsi="宋体" w:cs="宋体"/>
          <w:color w:val="auto"/>
          <w:kern w:val="0"/>
          <w:szCs w:val="21"/>
          <w:highlight w:val="none"/>
        </w:rPr>
        <w:t xml:space="preserve">                     电  话：023-67718337</w:t>
      </w:r>
    </w:p>
    <w:p>
      <w:pPr>
        <w:tabs>
          <w:tab w:val="left" w:pos="1425"/>
        </w:tabs>
        <w:spacing w:line="560" w:lineRule="exact"/>
        <w:ind w:left="5252" w:leftChars="10" w:hanging="5231" w:hangingChars="2491"/>
        <w:rPr>
          <w:rFonts w:ascii="宋体" w:hAnsi="宋体" w:cs="宋体"/>
          <w:color w:val="auto"/>
          <w:szCs w:val="21"/>
          <w:highlight w:val="none"/>
        </w:rPr>
      </w:pPr>
      <w:r>
        <w:rPr>
          <w:rFonts w:hint="eastAsia" w:ascii="宋体" w:hAnsi="宋体" w:cs="宋体"/>
          <w:color w:val="auto"/>
          <w:kern w:val="0"/>
          <w:szCs w:val="21"/>
          <w:highlight w:val="none"/>
        </w:rPr>
        <w:t>传  真： 023-</w:t>
      </w:r>
      <w:r>
        <w:rPr>
          <w:rFonts w:hint="eastAsia" w:ascii="宋体" w:hAnsi="宋体" w:cs="宋体"/>
          <w:color w:val="auto"/>
          <w:kern w:val="0"/>
          <w:szCs w:val="21"/>
          <w:highlight w:val="none"/>
          <w:lang w:val="en-US" w:eastAsia="zh-CN"/>
        </w:rPr>
        <w:t>68823284</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szCs w:val="21"/>
          <w:highlight w:val="none"/>
        </w:rPr>
        <w:t>传  真：023-67718335</w:t>
      </w:r>
    </w:p>
    <w:p>
      <w:pPr>
        <w:tabs>
          <w:tab w:val="left" w:pos="1425"/>
        </w:tabs>
        <w:spacing w:line="500" w:lineRule="exact"/>
        <w:ind w:firstLine="1470" w:firstLineChars="700"/>
        <w:jc w:val="right"/>
        <w:rPr>
          <w:rFonts w:ascii="宋体" w:hAnsi="宋体" w:cs="宋体"/>
          <w:color w:val="auto"/>
          <w:szCs w:val="21"/>
          <w:highlight w:val="none"/>
        </w:rPr>
      </w:pPr>
    </w:p>
    <w:p>
      <w:pPr>
        <w:tabs>
          <w:tab w:val="left" w:pos="1425"/>
        </w:tabs>
        <w:wordWrap w:val="0"/>
        <w:spacing w:line="500" w:lineRule="exact"/>
        <w:ind w:firstLine="1470" w:firstLineChars="700"/>
        <w:jc w:val="right"/>
        <w:rPr>
          <w:rFonts w:ascii="宋体" w:hAnsi="宋体" w:cs="宋体"/>
          <w:color w:val="auto"/>
          <w:szCs w:val="21"/>
          <w:highlight w:val="none"/>
        </w:rPr>
      </w:pPr>
      <w:r>
        <w:rPr>
          <w:rFonts w:hint="eastAsia" w:ascii="宋体" w:hAnsi="宋体" w:cs="宋体"/>
          <w:color w:val="auto"/>
          <w:szCs w:val="21"/>
          <w:highlight w:val="none"/>
          <w:u w:val="single"/>
        </w:rPr>
        <w:t>2020年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日</w:t>
      </w:r>
    </w:p>
    <w:p>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rPr>
          <w:rFonts w:ascii="宋体" w:hAnsi="宋体" w:cs="宋体"/>
          <w:color w:val="auto"/>
          <w:kern w:val="0"/>
          <w:sz w:val="24"/>
          <w:highlight w:val="none"/>
        </w:rPr>
      </w:pPr>
    </w:p>
    <w:p>
      <w:pPr>
        <w:widowControl/>
        <w:snapToGrid w:val="0"/>
        <w:jc w:val="center"/>
        <w:outlineLvl w:val="0"/>
        <w:rPr>
          <w:rFonts w:ascii="宋体" w:hAnsi="宋体" w:cs="宋体"/>
          <w:b/>
          <w:color w:val="auto"/>
          <w:kern w:val="0"/>
          <w:sz w:val="36"/>
          <w:szCs w:val="36"/>
          <w:highlight w:val="none"/>
        </w:rPr>
      </w:pPr>
      <w:bookmarkStart w:id="95" w:name="_Toc430205966"/>
      <w:r>
        <w:rPr>
          <w:rFonts w:hint="eastAsia" w:ascii="宋体" w:hAnsi="宋体" w:cs="宋体"/>
          <w:b/>
          <w:color w:val="auto"/>
          <w:kern w:val="0"/>
          <w:sz w:val="36"/>
          <w:szCs w:val="36"/>
          <w:highlight w:val="none"/>
        </w:rPr>
        <w:br w:type="page"/>
      </w:r>
      <w:bookmarkStart w:id="96" w:name="_Toc8184"/>
      <w:bookmarkStart w:id="97" w:name="_Toc15605"/>
      <w:bookmarkStart w:id="98" w:name="_Toc11286"/>
      <w:bookmarkStart w:id="99" w:name="_Toc18701"/>
      <w:r>
        <w:rPr>
          <w:rFonts w:hint="eastAsia" w:ascii="宋体" w:hAnsi="宋体" w:cs="宋体"/>
          <w:b/>
          <w:color w:val="auto"/>
          <w:kern w:val="0"/>
          <w:sz w:val="36"/>
          <w:szCs w:val="36"/>
          <w:highlight w:val="none"/>
        </w:rPr>
        <w:t>第二章  竞选人须知</w:t>
      </w:r>
      <w:bookmarkEnd w:id="95"/>
      <w:bookmarkEnd w:id="96"/>
      <w:bookmarkEnd w:id="97"/>
      <w:bookmarkEnd w:id="98"/>
      <w:bookmarkEnd w:id="99"/>
    </w:p>
    <w:p>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color w:val="auto"/>
          <w:kern w:val="0"/>
          <w:szCs w:val="21"/>
          <w:highlight w:val="none"/>
        </w:rPr>
      </w:pPr>
      <w:bookmarkStart w:id="100" w:name="_Toc430205967"/>
      <w:r>
        <w:rPr>
          <w:rFonts w:hint="eastAsia" w:ascii="宋体" w:hAnsi="宋体" w:cs="宋体"/>
          <w:b/>
          <w:color w:val="auto"/>
          <w:kern w:val="0"/>
          <w:szCs w:val="21"/>
          <w:highlight w:val="none"/>
        </w:rPr>
        <w:t>竞选人须知前附表</w:t>
      </w:r>
      <w:bookmarkEnd w:id="100"/>
    </w:p>
    <w:p>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若竞选人须知前附表与正文不一致的地方，以竞选人须知前附表为准。</w:t>
      </w:r>
    </w:p>
    <w:tbl>
      <w:tblPr>
        <w:tblStyle w:val="30"/>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105"/>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条 款 号</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条款名称</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1.1.2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比选人</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名  称：</w:t>
            </w:r>
            <w:r>
              <w:rPr>
                <w:rFonts w:hint="eastAsia" w:ascii="宋体" w:hAnsi="宋体" w:cs="宋体"/>
                <w:color w:val="auto"/>
                <w:kern w:val="0"/>
                <w:szCs w:val="21"/>
                <w:highlight w:val="none"/>
              </w:rPr>
              <w:t>重庆医科大学附属康复医院</w:t>
            </w:r>
          </w:p>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地  址：</w:t>
            </w:r>
            <w:r>
              <w:rPr>
                <w:rFonts w:hint="eastAsia" w:ascii="宋体" w:hAnsi="宋体" w:cs="宋体"/>
                <w:color w:val="auto"/>
                <w:kern w:val="0"/>
                <w:szCs w:val="21"/>
                <w:highlight w:val="none"/>
                <w:lang w:eastAsia="zh-CN"/>
              </w:rPr>
              <w:t>九龙坡区谢家湾文化七村</w:t>
            </w:r>
            <w:r>
              <w:rPr>
                <w:rFonts w:hint="eastAsia" w:ascii="宋体" w:hAnsi="宋体" w:cs="宋体"/>
                <w:color w:val="auto"/>
                <w:kern w:val="0"/>
                <w:szCs w:val="21"/>
                <w:highlight w:val="none"/>
                <w:lang w:val="en-US" w:eastAsia="zh-CN"/>
              </w:rPr>
              <w:t>50号</w:t>
            </w:r>
          </w:p>
          <w:p>
            <w:pPr>
              <w:snapToGrid w:val="0"/>
              <w:spacing w:line="360" w:lineRule="auto"/>
              <w:rPr>
                <w:rFonts w:ascii="宋体" w:hAnsi="宋体" w:cs="宋体"/>
                <w:color w:val="auto"/>
                <w:kern w:val="0"/>
                <w:szCs w:val="20"/>
                <w:highlight w:val="none"/>
              </w:rPr>
            </w:pPr>
            <w:r>
              <w:rPr>
                <w:rFonts w:hint="eastAsia" w:ascii="宋体" w:hAnsi="宋体" w:cs="宋体"/>
                <w:color w:val="auto"/>
                <w:kern w:val="0"/>
                <w:highlight w:val="none"/>
              </w:rPr>
              <w:t>联系人：</w:t>
            </w:r>
            <w:r>
              <w:rPr>
                <w:rFonts w:hint="eastAsia" w:ascii="宋体" w:hAnsi="宋体" w:cs="宋体"/>
                <w:color w:val="auto"/>
                <w:kern w:val="0"/>
                <w:szCs w:val="21"/>
                <w:highlight w:val="none"/>
                <w:lang w:eastAsia="zh-CN"/>
              </w:rPr>
              <w:t>冯</w:t>
            </w:r>
            <w:r>
              <w:rPr>
                <w:rFonts w:hint="eastAsia" w:ascii="宋体" w:hAnsi="宋体" w:cs="宋体"/>
                <w:color w:val="auto"/>
                <w:kern w:val="0"/>
                <w:szCs w:val="21"/>
                <w:highlight w:val="none"/>
              </w:rPr>
              <w:t>老师</w:t>
            </w:r>
          </w:p>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电  话：</w:t>
            </w:r>
            <w:r>
              <w:rPr>
                <w:rFonts w:hint="eastAsia" w:ascii="宋体" w:hAnsi="宋体" w:cs="宋体"/>
                <w:color w:val="auto"/>
                <w:kern w:val="0"/>
                <w:szCs w:val="21"/>
                <w:highlight w:val="none"/>
              </w:rPr>
              <w:t>023-68</w:t>
            </w:r>
            <w:r>
              <w:rPr>
                <w:rFonts w:hint="eastAsia" w:ascii="宋体" w:hAnsi="宋体" w:cs="宋体"/>
                <w:color w:val="auto"/>
                <w:kern w:val="0"/>
                <w:szCs w:val="21"/>
                <w:highlight w:val="none"/>
                <w:lang w:val="en-US" w:eastAsia="zh-CN"/>
              </w:rPr>
              <w:t>823284</w:t>
            </w:r>
            <w:r>
              <w:rPr>
                <w:rFonts w:hint="eastAsia"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1.1.3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比选代理机构</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名  称：新华招标有限公司重庆分公司</w:t>
            </w:r>
          </w:p>
          <w:p>
            <w:pPr>
              <w:snapToGrid w:val="0"/>
              <w:spacing w:line="360" w:lineRule="auto"/>
              <w:rPr>
                <w:rFonts w:ascii="宋体" w:hAnsi="宋体" w:cs="宋体"/>
                <w:color w:val="auto"/>
                <w:szCs w:val="21"/>
                <w:highlight w:val="none"/>
              </w:rPr>
            </w:pPr>
            <w:r>
              <w:rPr>
                <w:rFonts w:hint="eastAsia" w:ascii="宋体" w:hAnsi="宋体" w:cs="宋体"/>
                <w:color w:val="auto"/>
                <w:kern w:val="0"/>
                <w:highlight w:val="none"/>
              </w:rPr>
              <w:t>地  址：</w:t>
            </w:r>
            <w:r>
              <w:rPr>
                <w:rFonts w:hint="eastAsia" w:ascii="宋体" w:hAnsi="宋体" w:cs="宋体"/>
                <w:color w:val="auto"/>
                <w:kern w:val="0"/>
                <w:szCs w:val="21"/>
                <w:highlight w:val="none"/>
              </w:rPr>
              <w:t>重庆市渝北区杨柳北路力华科谷A区501</w:t>
            </w:r>
          </w:p>
          <w:p>
            <w:pPr>
              <w:tabs>
                <w:tab w:val="left" w:pos="1425"/>
              </w:tabs>
              <w:spacing w:line="360" w:lineRule="auto"/>
              <w:ind w:left="5040" w:hanging="5040" w:hangingChars="2400"/>
              <w:rPr>
                <w:rFonts w:ascii="宋体" w:hAnsi="宋体" w:cs="宋体"/>
                <w:color w:val="auto"/>
                <w:kern w:val="0"/>
                <w:szCs w:val="20"/>
                <w:highlight w:val="none"/>
              </w:rPr>
            </w:pPr>
            <w:r>
              <w:rPr>
                <w:rFonts w:hint="eastAsia" w:ascii="宋体" w:hAnsi="宋体" w:cs="宋体"/>
                <w:color w:val="auto"/>
                <w:kern w:val="0"/>
                <w:highlight w:val="none"/>
              </w:rPr>
              <w:t>联系人：龚老师</w:t>
            </w:r>
          </w:p>
          <w:p>
            <w:pPr>
              <w:tabs>
                <w:tab w:val="left" w:pos="1425"/>
              </w:tabs>
              <w:spacing w:line="360" w:lineRule="auto"/>
              <w:ind w:left="5040" w:hanging="5040" w:hangingChars="2400"/>
              <w:rPr>
                <w:rFonts w:ascii="宋体" w:hAnsi="宋体" w:cs="宋体"/>
                <w:color w:val="auto"/>
                <w:kern w:val="0"/>
                <w:highlight w:val="none"/>
              </w:rPr>
            </w:pPr>
            <w:r>
              <w:rPr>
                <w:rFonts w:hint="eastAsia" w:ascii="宋体" w:hAnsi="宋体" w:cs="宋体"/>
                <w:color w:val="auto"/>
                <w:kern w:val="0"/>
                <w:highlight w:val="none"/>
              </w:rPr>
              <w:t>电  话：023-67718337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1.1.4</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项目名称</w:t>
            </w:r>
          </w:p>
        </w:tc>
        <w:tc>
          <w:tcPr>
            <w:tcW w:w="66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highlight w:val="none"/>
              </w:rPr>
            </w:pPr>
            <w:r>
              <w:rPr>
                <w:rFonts w:hint="eastAsia" w:ascii="宋体" w:hAnsi="宋体" w:cs="宋体"/>
                <w:color w:val="auto"/>
                <w:highlight w:val="none"/>
              </w:rPr>
              <w:t>重庆医科大学</w:t>
            </w:r>
            <w:r>
              <w:rPr>
                <w:rFonts w:hint="eastAsia" w:ascii="宋体" w:hAnsi="宋体" w:cs="宋体"/>
                <w:color w:val="auto"/>
                <w:highlight w:val="none"/>
                <w:lang w:eastAsia="zh-CN"/>
              </w:rPr>
              <w:t>附属康复医院</w:t>
            </w:r>
            <w:r>
              <w:rPr>
                <w:rFonts w:hint="eastAsia" w:ascii="宋体" w:hAnsi="宋体" w:cs="宋体"/>
                <w:color w:val="auto"/>
                <w:highlight w:val="none"/>
              </w:rPr>
              <w:t>住院部1-4楼公共卫生间改造项目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1.1.5</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建设地点</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szCs w:val="21"/>
                <w:highlight w:val="none"/>
                <w:lang w:eastAsia="zh-CN"/>
              </w:rPr>
              <w:t>九龙坡区谢家湾文化七村</w:t>
            </w:r>
            <w:r>
              <w:rPr>
                <w:rFonts w:hint="eastAsia" w:ascii="宋体" w:hAnsi="宋体" w:cs="宋体"/>
                <w:color w:val="auto"/>
                <w:kern w:val="0"/>
                <w:szCs w:val="21"/>
                <w:highlight w:val="none"/>
                <w:lang w:val="en-US" w:eastAsia="zh-CN"/>
              </w:rPr>
              <w:t>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工程规模</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本工程为重庆医科大学</w:t>
            </w:r>
            <w:r>
              <w:rPr>
                <w:rFonts w:hint="eastAsia" w:ascii="宋体" w:hAnsi="宋体" w:cs="宋体"/>
                <w:color w:val="auto"/>
                <w:kern w:val="0"/>
                <w:highlight w:val="none"/>
                <w:lang w:eastAsia="zh-CN"/>
              </w:rPr>
              <w:t>附属康复医院</w:t>
            </w:r>
            <w:r>
              <w:rPr>
                <w:rFonts w:hint="eastAsia" w:ascii="宋体" w:hAnsi="宋体" w:cs="宋体"/>
                <w:color w:val="auto"/>
                <w:kern w:val="0"/>
                <w:highlight w:val="none"/>
              </w:rPr>
              <w:t>住院部1-4楼公共卫生间改造项目，施工面积约195㎡。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1.2.1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资金来源</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1.2.3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资金落实情况</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比选范围</w:t>
            </w:r>
          </w:p>
        </w:tc>
        <w:tc>
          <w:tcPr>
            <w:tcW w:w="66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cs="宋体"/>
                <w:color w:val="auto"/>
                <w:kern w:val="0"/>
                <w:highlight w:val="none"/>
              </w:rPr>
            </w:pPr>
            <w:r>
              <w:rPr>
                <w:rFonts w:hint="eastAsia" w:ascii="宋体" w:hAnsi="宋体" w:cs="宋体"/>
                <w:color w:val="auto"/>
                <w:kern w:val="0"/>
                <w:highlight w:val="none"/>
              </w:rPr>
              <w:t>施工图内的所有内容，具体工程内容详见施工设计图及工程量清单（施工设计图与工程量清单不一致时，以工程量清单为准）。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1.3.2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lang w:val="en-US" w:eastAsia="zh-CN"/>
              </w:rPr>
              <w:t>90</w:t>
            </w:r>
            <w:r>
              <w:rPr>
                <w:rFonts w:hint="eastAsia" w:ascii="宋体" w:hAnsi="宋体" w:cs="宋体"/>
                <w:color w:val="auto"/>
                <w:kern w:val="0"/>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1.3.3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质量要求</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highlight w:val="none"/>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1.4.1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竞选人资质条件、能力和信誉</w:t>
            </w:r>
          </w:p>
          <w:p>
            <w:pPr>
              <w:snapToGrid w:val="0"/>
              <w:spacing w:line="360" w:lineRule="auto"/>
              <w:rPr>
                <w:rFonts w:ascii="宋体" w:hAnsi="宋体" w:cs="宋体"/>
                <w:color w:val="auto"/>
                <w:kern w:val="0"/>
                <w:highlight w:val="none"/>
              </w:rPr>
            </w:pP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415" w:firstLineChars="198"/>
              <w:jc w:val="left"/>
              <w:rPr>
                <w:color w:val="auto"/>
                <w:highlight w:val="none"/>
              </w:rPr>
            </w:pPr>
            <w:r>
              <w:rPr>
                <w:rFonts w:hint="eastAsia"/>
                <w:color w:val="auto"/>
                <w:highlight w:val="none"/>
              </w:rPr>
              <w:t>本工程施工比选实行资格后审，竞选人应具备以下资格条件：</w:t>
            </w:r>
          </w:p>
          <w:p>
            <w:pPr>
              <w:autoSpaceDE w:val="0"/>
              <w:autoSpaceDN w:val="0"/>
              <w:adjustRightInd w:val="0"/>
              <w:snapToGrid w:val="0"/>
              <w:spacing w:line="440" w:lineRule="exact"/>
              <w:ind w:firstLine="415" w:firstLineChars="198"/>
              <w:jc w:val="left"/>
              <w:rPr>
                <w:color w:val="auto"/>
                <w:highlight w:val="none"/>
              </w:rPr>
            </w:pPr>
            <w:r>
              <w:rPr>
                <w:rFonts w:hint="eastAsia"/>
                <w:color w:val="auto"/>
                <w:highlight w:val="none"/>
              </w:rPr>
              <w:t>1.资质条件、营业执照及安全生产条件</w:t>
            </w:r>
          </w:p>
          <w:p>
            <w:pPr>
              <w:autoSpaceDE w:val="0"/>
              <w:autoSpaceDN w:val="0"/>
              <w:adjustRightInd w:val="0"/>
              <w:snapToGrid w:val="0"/>
              <w:spacing w:line="440" w:lineRule="exact"/>
              <w:ind w:firstLine="415" w:firstLineChars="198"/>
              <w:jc w:val="left"/>
              <w:rPr>
                <w:color w:val="auto"/>
                <w:highlight w:val="none"/>
              </w:rPr>
            </w:pPr>
            <w:r>
              <w:rPr>
                <w:rFonts w:hint="eastAsia"/>
                <w:color w:val="auto"/>
                <w:highlight w:val="none"/>
              </w:rPr>
              <w:t>（1）必须具备建设行政主管部门颁发的</w:t>
            </w:r>
            <w:r>
              <w:rPr>
                <w:rFonts w:hint="eastAsia"/>
                <w:b/>
                <w:bCs/>
                <w:color w:val="auto"/>
                <w:highlight w:val="none"/>
              </w:rPr>
              <w:t>建筑工程施工总承包叁级及以上资质或建筑装修装饰工程专业承包贰级及以上资质</w:t>
            </w:r>
            <w:r>
              <w:rPr>
                <w:rFonts w:hint="eastAsia"/>
                <w:color w:val="auto"/>
                <w:highlight w:val="none"/>
              </w:rPr>
              <w:t>。</w:t>
            </w:r>
          </w:p>
          <w:p>
            <w:pPr>
              <w:autoSpaceDE w:val="0"/>
              <w:autoSpaceDN w:val="0"/>
              <w:adjustRightInd w:val="0"/>
              <w:snapToGrid w:val="0"/>
              <w:spacing w:line="440" w:lineRule="exact"/>
              <w:ind w:firstLine="415" w:firstLineChars="198"/>
              <w:jc w:val="left"/>
              <w:rPr>
                <w:color w:val="auto"/>
                <w:highlight w:val="none"/>
              </w:rPr>
            </w:pPr>
            <w:r>
              <w:rPr>
                <w:rFonts w:hint="eastAsia"/>
                <w:color w:val="auto"/>
                <w:highlight w:val="none"/>
              </w:rPr>
              <w:t>【须提供有效的资质证书副本复印件并加盖竞选人单位公章】</w:t>
            </w:r>
          </w:p>
          <w:p>
            <w:pPr>
              <w:numPr>
                <w:ilvl w:val="0"/>
                <w:numId w:val="1"/>
              </w:numPr>
              <w:autoSpaceDE w:val="0"/>
              <w:autoSpaceDN w:val="0"/>
              <w:adjustRightInd w:val="0"/>
              <w:snapToGrid w:val="0"/>
              <w:spacing w:line="440" w:lineRule="exact"/>
              <w:ind w:firstLine="415" w:firstLineChars="198"/>
              <w:jc w:val="left"/>
              <w:rPr>
                <w:color w:val="auto"/>
                <w:highlight w:val="none"/>
              </w:rPr>
            </w:pPr>
            <w:r>
              <w:rPr>
                <w:rFonts w:hint="eastAsia"/>
                <w:color w:val="auto"/>
                <w:highlight w:val="none"/>
              </w:rPr>
              <w:t>具备有效的营业执照。</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【须提供有效的营业执照副本复印件并加盖竞选人单位公章】</w:t>
            </w:r>
          </w:p>
          <w:p>
            <w:pPr>
              <w:numPr>
                <w:ilvl w:val="0"/>
                <w:numId w:val="1"/>
              </w:numPr>
              <w:autoSpaceDE w:val="0"/>
              <w:autoSpaceDN w:val="0"/>
              <w:adjustRightInd w:val="0"/>
              <w:snapToGrid w:val="0"/>
              <w:spacing w:line="440" w:lineRule="exact"/>
              <w:ind w:firstLine="415" w:firstLineChars="198"/>
              <w:jc w:val="left"/>
              <w:rPr>
                <w:color w:val="auto"/>
                <w:highlight w:val="none"/>
              </w:rPr>
            </w:pPr>
            <w:r>
              <w:rPr>
                <w:rFonts w:hint="eastAsia"/>
                <w:color w:val="auto"/>
                <w:highlight w:val="none"/>
              </w:rPr>
              <w:t>具备建设行政主管部门颁发的有效的安全生产许可证，企业负责人、拟担任该项目的项目负责人和专职安全生产管理人员（即“三类人员”）具备建设行政主管部门颁发的相应的安全生产考核合格证书。</w:t>
            </w:r>
          </w:p>
          <w:p>
            <w:pPr>
              <w:autoSpaceDE w:val="0"/>
              <w:autoSpaceDN w:val="0"/>
              <w:adjustRightInd w:val="0"/>
              <w:snapToGrid w:val="0"/>
              <w:spacing w:line="440" w:lineRule="exact"/>
              <w:ind w:left="15" w:leftChars="7" w:firstLine="399" w:firstLineChars="190"/>
              <w:jc w:val="left"/>
              <w:rPr>
                <w:color w:val="auto"/>
                <w:highlight w:val="none"/>
              </w:rPr>
            </w:pPr>
            <w:r>
              <w:rPr>
                <w:rFonts w:hint="eastAsia"/>
                <w:color w:val="auto"/>
                <w:highlight w:val="none"/>
              </w:rPr>
              <w:t>【须提供有效的安全生产许可证及“三类人员”安全生产考核合格证书复印件并加盖竞选人单位公章】</w:t>
            </w:r>
          </w:p>
          <w:p>
            <w:pPr>
              <w:adjustRightInd w:val="0"/>
              <w:snapToGrid w:val="0"/>
              <w:spacing w:line="440" w:lineRule="exact"/>
              <w:ind w:firstLine="420" w:firstLineChars="200"/>
              <w:rPr>
                <w:color w:val="auto"/>
                <w:highlight w:val="none"/>
              </w:rPr>
            </w:pPr>
            <w:r>
              <w:rPr>
                <w:rFonts w:hint="eastAsia"/>
                <w:color w:val="auto"/>
                <w:highlight w:val="none"/>
              </w:rPr>
              <w:t>2.信誉要求</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（1）被本市有关行政部门暂停本市（处罚行政区域内）投标资格，不得参与投标，未被暂停本市（处罚行政区域内）投标资格的应提供未处于本市（处罚行政区域内）暂停投标资格行政处罚的真实性承诺。</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（2）竞选人单位或其法定代表人未被人民法院判定犯行贿罪。由竞选人自行承诺，承诺期限为比选截止日前两年内,如承诺与实际不符,将被取消投标或中标资格,其投标保证金不予退还。</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3）竞选人不得被人民法院列为失信被执行人。各竞选人应当通过“信用中国”网站（www.creditchina.gov.cn）查询被列为失信被执行人情况，并提供查询截图加盖竞选人单位公章。被列为失信被执行人的，不得参与本项目比选；被列为失信被执行人参与比选的将作否决投标处理。</w:t>
            </w:r>
          </w:p>
          <w:p>
            <w:pPr>
              <w:numPr>
                <w:ilvl w:val="0"/>
                <w:numId w:val="2"/>
              </w:numPr>
              <w:snapToGrid w:val="0"/>
              <w:spacing w:line="440" w:lineRule="exact"/>
              <w:ind w:firstLine="415" w:firstLineChars="198"/>
              <w:jc w:val="left"/>
              <w:rPr>
                <w:color w:val="auto"/>
                <w:highlight w:val="none"/>
              </w:rPr>
            </w:pPr>
            <w:r>
              <w:rPr>
                <w:rFonts w:hint="eastAsia"/>
                <w:color w:val="auto"/>
                <w:highlight w:val="none"/>
              </w:rPr>
              <w:t>财务要求</w:t>
            </w:r>
          </w:p>
          <w:p>
            <w:pPr>
              <w:adjustRightInd w:val="0"/>
              <w:snapToGrid w:val="0"/>
              <w:spacing w:line="440" w:lineRule="exact"/>
              <w:ind w:firstLine="420" w:firstLineChars="200"/>
              <w:rPr>
                <w:color w:val="auto"/>
                <w:highlight w:val="none"/>
              </w:rPr>
            </w:pPr>
            <w:r>
              <w:rPr>
                <w:rFonts w:hint="eastAsia"/>
                <w:color w:val="auto"/>
                <w:highlight w:val="none"/>
              </w:rPr>
              <w:t>2017-2019年财务状况良好，无亏损。</w:t>
            </w:r>
          </w:p>
          <w:p>
            <w:pPr>
              <w:adjustRightInd w:val="0"/>
              <w:snapToGrid w:val="0"/>
              <w:spacing w:line="440" w:lineRule="exact"/>
              <w:ind w:firstLine="420" w:firstLineChars="200"/>
              <w:rPr>
                <w:color w:val="auto"/>
                <w:highlight w:val="none"/>
              </w:rPr>
            </w:pPr>
            <w:r>
              <w:rPr>
                <w:rFonts w:hint="eastAsia"/>
                <w:color w:val="auto"/>
                <w:highlight w:val="none"/>
              </w:rPr>
              <w:t>【提供2017-2019年度经会计师事务所或审计机构审计的财务会计报告，包括资产负债表、现金流量表、利润表和财务情况说明书的复印件或扫描件，加盖竞选人公章。】</w:t>
            </w:r>
          </w:p>
          <w:p>
            <w:pPr>
              <w:numPr>
                <w:ilvl w:val="0"/>
                <w:numId w:val="2"/>
              </w:numPr>
              <w:snapToGrid w:val="0"/>
              <w:spacing w:line="440" w:lineRule="exact"/>
              <w:ind w:firstLine="415" w:firstLineChars="198"/>
              <w:jc w:val="left"/>
              <w:rPr>
                <w:color w:val="auto"/>
                <w:highlight w:val="none"/>
              </w:rPr>
            </w:pPr>
            <w:r>
              <w:rPr>
                <w:rFonts w:hint="eastAsia"/>
                <w:color w:val="auto"/>
                <w:highlight w:val="none"/>
              </w:rPr>
              <w:t>业绩要求</w:t>
            </w:r>
          </w:p>
          <w:p>
            <w:pPr>
              <w:adjustRightInd w:val="0"/>
              <w:snapToGrid w:val="0"/>
              <w:spacing w:line="440" w:lineRule="exact"/>
              <w:ind w:firstLine="420" w:firstLineChars="200"/>
              <w:rPr>
                <w:color w:val="auto"/>
                <w:highlight w:val="none"/>
              </w:rPr>
            </w:pPr>
            <w:r>
              <w:rPr>
                <w:rFonts w:hint="eastAsia"/>
                <w:color w:val="auto"/>
                <w:highlight w:val="none"/>
              </w:rPr>
              <w:t>2017年1月1日至今具有合同金额不低于45万元的装饰装修或改建改造工程施工业绩2个。</w:t>
            </w:r>
          </w:p>
          <w:p>
            <w:pPr>
              <w:adjustRightInd w:val="0"/>
              <w:snapToGrid w:val="0"/>
              <w:spacing w:line="440" w:lineRule="exact"/>
              <w:ind w:firstLine="420" w:firstLineChars="200"/>
              <w:rPr>
                <w:color w:val="auto"/>
                <w:highlight w:val="none"/>
              </w:rPr>
            </w:pPr>
            <w:r>
              <w:rPr>
                <w:rFonts w:hint="eastAsia"/>
                <w:color w:val="auto"/>
                <w:highlight w:val="none"/>
              </w:rPr>
              <w:t>【须提供中标通知书（或成交通知书）和合同协议书复印件或扫描件加盖竞选人公章（业绩时间以合同签订时间为准，项目规模以合同协议书为准），若以上资料无法体现规模特征时，还需提供业主证明复印件或扫描件；若是以非招标方式承担施工的，可不提供中标通知书（或成交通知书），但其他资料均须提供】</w:t>
            </w:r>
          </w:p>
          <w:p>
            <w:pPr>
              <w:numPr>
                <w:ilvl w:val="0"/>
                <w:numId w:val="2"/>
              </w:numPr>
              <w:snapToGrid w:val="0"/>
              <w:spacing w:line="440" w:lineRule="exact"/>
              <w:ind w:firstLine="415" w:firstLineChars="198"/>
              <w:jc w:val="left"/>
              <w:rPr>
                <w:color w:val="auto"/>
                <w:highlight w:val="none"/>
              </w:rPr>
            </w:pPr>
            <w:r>
              <w:rPr>
                <w:rFonts w:hint="eastAsia"/>
                <w:color w:val="auto"/>
                <w:highlight w:val="none"/>
              </w:rPr>
              <w:t>项目经理资格要求</w:t>
            </w:r>
          </w:p>
          <w:p>
            <w:pPr>
              <w:numPr>
                <w:ilvl w:val="0"/>
                <w:numId w:val="3"/>
              </w:numPr>
              <w:adjustRightInd w:val="0"/>
              <w:snapToGrid w:val="0"/>
              <w:spacing w:line="440" w:lineRule="exact"/>
              <w:ind w:firstLine="420" w:firstLineChars="200"/>
              <w:rPr>
                <w:color w:val="auto"/>
                <w:highlight w:val="none"/>
              </w:rPr>
            </w:pPr>
            <w:r>
              <w:rPr>
                <w:rFonts w:hint="eastAsia"/>
                <w:color w:val="auto"/>
                <w:highlight w:val="none"/>
              </w:rPr>
              <w:t>项目经理必须已在申请人单位注册并应具有</w:t>
            </w:r>
            <w:r>
              <w:rPr>
                <w:rFonts w:hint="eastAsia"/>
                <w:b/>
                <w:bCs/>
                <w:color w:val="auto"/>
                <w:highlight w:val="none"/>
                <w:u w:val="single"/>
              </w:rPr>
              <w:t>建筑工程</w:t>
            </w:r>
            <w:r>
              <w:rPr>
                <w:rFonts w:hint="eastAsia"/>
                <w:color w:val="auto"/>
                <w:highlight w:val="none"/>
              </w:rPr>
              <w:t xml:space="preserve"> 类贰级及以上注册建造师执业资格，且具有</w:t>
            </w:r>
            <w:r>
              <w:rPr>
                <w:rFonts w:hint="eastAsia"/>
                <w:b/>
                <w:bCs/>
                <w:color w:val="auto"/>
                <w:highlight w:val="none"/>
                <w:u w:val="single"/>
              </w:rPr>
              <w:t>工程类</w:t>
            </w:r>
            <w:r>
              <w:rPr>
                <w:rFonts w:hint="eastAsia"/>
                <w:color w:val="auto"/>
                <w:highlight w:val="none"/>
              </w:rPr>
              <w:t>中级及以上技术职称和相应有效的安全生产考核合格证书（B类）。</w:t>
            </w:r>
          </w:p>
          <w:p>
            <w:pPr>
              <w:numPr>
                <w:ilvl w:val="0"/>
                <w:numId w:val="3"/>
              </w:numPr>
              <w:adjustRightInd w:val="0"/>
              <w:snapToGrid w:val="0"/>
              <w:spacing w:line="440" w:lineRule="exact"/>
              <w:ind w:firstLine="420" w:firstLineChars="200"/>
              <w:rPr>
                <w:color w:val="auto"/>
                <w:highlight w:val="none"/>
              </w:rPr>
            </w:pPr>
            <w:r>
              <w:rPr>
                <w:rFonts w:hint="eastAsia"/>
                <w:color w:val="auto"/>
                <w:highlight w:val="none"/>
              </w:rPr>
              <w:t>投标人须提供项目经理无在建项目的真实性承诺（由竞选人自行承诺，格式自拟）；</w:t>
            </w:r>
          </w:p>
          <w:p>
            <w:pPr>
              <w:numPr>
                <w:ilvl w:val="0"/>
                <w:numId w:val="3"/>
              </w:numPr>
              <w:adjustRightInd w:val="0"/>
              <w:snapToGrid w:val="0"/>
              <w:spacing w:line="440" w:lineRule="exact"/>
              <w:ind w:firstLine="420" w:firstLineChars="200"/>
              <w:rPr>
                <w:color w:val="auto"/>
                <w:highlight w:val="none"/>
              </w:rPr>
            </w:pPr>
            <w:r>
              <w:rPr>
                <w:rFonts w:hint="eastAsia"/>
                <w:color w:val="auto"/>
                <w:highlight w:val="none"/>
              </w:rPr>
              <w:t>须提供2019年7月-2020年6月养老保险证明的复印件并加盖竞选人单位公章。</w:t>
            </w:r>
          </w:p>
          <w:p>
            <w:pPr>
              <w:snapToGrid w:val="0"/>
              <w:spacing w:line="440" w:lineRule="exact"/>
              <w:ind w:firstLine="318"/>
              <w:jc w:val="left"/>
              <w:rPr>
                <w:color w:val="auto"/>
                <w:highlight w:val="none"/>
              </w:rPr>
            </w:pPr>
            <w:r>
              <w:rPr>
                <w:rFonts w:hint="eastAsia"/>
                <w:color w:val="auto"/>
                <w:highlight w:val="none"/>
              </w:rPr>
              <w:t>注：项目经理必须以授权委托代理人身份出席开标会，并现场核验其身份证原件、建造师注册证原件及养老保险证明材料原件。开标过程中发现授权委托代理人与所派项目经理不一致或未提供养老保险证明材料，当场退还其投标文件。</w:t>
            </w:r>
          </w:p>
          <w:p>
            <w:pPr>
              <w:autoSpaceDE w:val="0"/>
              <w:autoSpaceDN w:val="0"/>
              <w:adjustRightInd w:val="0"/>
              <w:snapToGrid w:val="0"/>
              <w:spacing w:line="440" w:lineRule="exact"/>
              <w:ind w:firstLine="417" w:firstLineChars="199"/>
              <w:jc w:val="left"/>
              <w:rPr>
                <w:color w:val="auto"/>
                <w:highlight w:val="none"/>
              </w:rPr>
            </w:pPr>
            <w:r>
              <w:rPr>
                <w:rFonts w:hint="eastAsia"/>
                <w:color w:val="auto"/>
                <w:highlight w:val="none"/>
              </w:rPr>
              <w:t>6.主要管理人员</w:t>
            </w:r>
          </w:p>
          <w:p>
            <w:pPr>
              <w:snapToGrid w:val="0"/>
              <w:spacing w:line="440" w:lineRule="exact"/>
              <w:ind w:firstLine="420" w:firstLineChars="200"/>
              <w:jc w:val="left"/>
              <w:rPr>
                <w:color w:val="auto"/>
                <w:highlight w:val="none"/>
              </w:rPr>
            </w:pPr>
            <w:r>
              <w:rPr>
                <w:rFonts w:hint="eastAsia"/>
                <w:color w:val="auto"/>
                <w:highlight w:val="none"/>
              </w:rPr>
              <w:t>施工员不少于 1人，安全员不少于 1 人，造价员或造价工程师不少于1人，质检员或质量员（装饰装修专业）不少于1人，材料员不少于1人。</w:t>
            </w:r>
          </w:p>
          <w:p>
            <w:pPr>
              <w:snapToGrid w:val="0"/>
              <w:spacing w:line="440" w:lineRule="exact"/>
              <w:ind w:firstLine="421"/>
              <w:jc w:val="left"/>
              <w:rPr>
                <w:color w:val="auto"/>
                <w:highlight w:val="none"/>
              </w:rPr>
            </w:pPr>
            <w:r>
              <w:rPr>
                <w:rFonts w:hint="eastAsia"/>
                <w:color w:val="auto"/>
                <w:highlight w:val="none"/>
              </w:rPr>
              <w:t>【以上人员均须提供2019年7月-2020年6月养老保险证明的复印件并加盖竞选人单位公章。安全员须提供上岗证和安全生产考核合格证复印件并加盖竞选人单位公章；施工员、质检员、材料员须提供上岗证复印件并加盖竞选人单位公章。造价员或造价工程师须提供全国造价员证书或全国注册造价工程师注册证书复印件并加盖竞选单位公章。】</w:t>
            </w:r>
          </w:p>
          <w:p>
            <w:pPr>
              <w:snapToGrid w:val="0"/>
              <w:spacing w:line="440" w:lineRule="exact"/>
              <w:ind w:firstLine="421"/>
              <w:jc w:val="left"/>
              <w:rPr>
                <w:color w:val="auto"/>
                <w:highlight w:val="none"/>
              </w:rPr>
            </w:pPr>
            <w:r>
              <w:rPr>
                <w:rFonts w:hint="eastAsia"/>
                <w:color w:val="auto"/>
                <w:highlight w:val="none"/>
              </w:rPr>
              <w:t>7.其他要求</w:t>
            </w:r>
          </w:p>
          <w:p>
            <w:pPr>
              <w:autoSpaceDE w:val="0"/>
              <w:autoSpaceDN w:val="0"/>
              <w:adjustRightInd w:val="0"/>
              <w:snapToGrid w:val="0"/>
              <w:spacing w:line="440" w:lineRule="exact"/>
              <w:ind w:left="418" w:leftChars="199" w:right="37"/>
              <w:jc w:val="left"/>
              <w:rPr>
                <w:color w:val="auto"/>
                <w:highlight w:val="none"/>
              </w:rPr>
            </w:pPr>
            <w:r>
              <w:rPr>
                <w:rFonts w:hint="eastAsia"/>
                <w:color w:val="auto"/>
                <w:highlight w:val="none"/>
              </w:rPr>
              <w:t>重庆市外施工企业投标还须满足以下要求：</w:t>
            </w:r>
          </w:p>
          <w:p>
            <w:pPr>
              <w:adjustRightInd w:val="0"/>
              <w:snapToGrid w:val="0"/>
              <w:spacing w:line="480" w:lineRule="exact"/>
              <w:ind w:firstLine="630" w:firstLineChars="300"/>
              <w:rPr>
                <w:color w:val="auto"/>
                <w:highlight w:val="none"/>
              </w:rPr>
            </w:pPr>
            <w:r>
              <w:rPr>
                <w:rFonts w:hint="eastAsia"/>
                <w:color w:val="auto"/>
                <w:highlight w:val="none"/>
              </w:rPr>
              <w:t>①市外建筑施工企业：</w:t>
            </w:r>
          </w:p>
          <w:p>
            <w:pPr>
              <w:spacing w:line="480" w:lineRule="exact"/>
              <w:ind w:left="420" w:leftChars="200"/>
              <w:rPr>
                <w:color w:val="auto"/>
                <w:highlight w:val="none"/>
              </w:rPr>
            </w:pPr>
            <w:r>
              <w:rPr>
                <w:rFonts w:hint="eastAsia"/>
                <w:color w:val="auto"/>
                <w:highlight w:val="none"/>
              </w:rPr>
              <w:t>入渝企业须向市城乡建委进行入渝信息报送。</w:t>
            </w:r>
          </w:p>
          <w:p>
            <w:pPr>
              <w:spacing w:line="480" w:lineRule="exact"/>
              <w:ind w:firstLine="411" w:firstLineChars="196"/>
              <w:rPr>
                <w:color w:val="auto"/>
                <w:highlight w:val="none"/>
              </w:rPr>
            </w:pPr>
            <w:r>
              <w:rPr>
                <w:rFonts w:hint="eastAsia"/>
                <w:color w:val="auto"/>
                <w:highlight w:val="none"/>
              </w:rPr>
              <w:t>【须提供已纳入“市外建筑施工企业入渝信息库”企业信息的网上截图（截图的内容至少应包含网页的表头及主要信息）并加盖竞选人单位公章。】</w:t>
            </w:r>
          </w:p>
          <w:p>
            <w:pPr>
              <w:spacing w:line="480" w:lineRule="exact"/>
              <w:ind w:firstLine="420" w:firstLineChars="200"/>
              <w:rPr>
                <w:color w:val="auto"/>
                <w:highlight w:val="none"/>
              </w:rPr>
            </w:pPr>
            <w:r>
              <w:rPr>
                <w:rFonts w:hint="eastAsia"/>
                <w:color w:val="auto"/>
                <w:highlight w:val="none"/>
              </w:rPr>
              <w:t>②市外建筑施工企业主要管理人员：</w:t>
            </w:r>
          </w:p>
          <w:p>
            <w:pPr>
              <w:spacing w:line="480" w:lineRule="exact"/>
              <w:ind w:firstLine="420" w:firstLineChars="200"/>
              <w:rPr>
                <w:color w:val="auto"/>
                <w:highlight w:val="none"/>
              </w:rPr>
            </w:pPr>
            <w:r>
              <w:rPr>
                <w:rFonts w:hint="eastAsia"/>
                <w:color w:val="auto"/>
                <w:highlight w:val="none"/>
              </w:rPr>
              <w:t>市外建筑施工企业拟派本项目的主要管理人员应是已纳入“市外建筑施工企业入渝信息库”的人员，拟任岗位应与备案岗位一致，且不得使用正用于其他工程投标或正在其他工程执业的被锁定人员。</w:t>
            </w:r>
          </w:p>
          <w:p>
            <w:pPr>
              <w:spacing w:line="480" w:lineRule="exact"/>
              <w:ind w:firstLine="420" w:firstLineChars="200"/>
              <w:rPr>
                <w:color w:val="auto"/>
                <w:highlight w:val="none"/>
              </w:rPr>
            </w:pPr>
            <w:r>
              <w:rPr>
                <w:rFonts w:hint="eastAsia"/>
                <w:color w:val="auto"/>
                <w:highlight w:val="none"/>
              </w:rPr>
              <w:t>【须提供拟派人员入渝信息的网上截图（截图的内容至少应包含网页的表头及主要信息）并加盖竞选人单位公章】</w:t>
            </w:r>
          </w:p>
          <w:p>
            <w:pPr>
              <w:autoSpaceDE w:val="0"/>
              <w:autoSpaceDN w:val="0"/>
              <w:adjustRightInd w:val="0"/>
              <w:snapToGrid w:val="0"/>
              <w:spacing w:line="440" w:lineRule="exact"/>
              <w:ind w:right="37"/>
              <w:jc w:val="left"/>
              <w:rPr>
                <w:color w:val="auto"/>
                <w:highlight w:val="none"/>
              </w:rPr>
            </w:pPr>
            <w:r>
              <w:rPr>
                <w:rFonts w:hint="eastAsia"/>
                <w:color w:val="auto"/>
                <w:highlight w:val="none"/>
              </w:rPr>
              <w:t>备注：</w:t>
            </w:r>
          </w:p>
          <w:p>
            <w:pPr>
              <w:autoSpaceDE w:val="0"/>
              <w:autoSpaceDN w:val="0"/>
              <w:adjustRightInd w:val="0"/>
              <w:snapToGrid w:val="0"/>
              <w:spacing w:line="440" w:lineRule="exact"/>
              <w:ind w:right="37" w:firstLine="420"/>
              <w:jc w:val="left"/>
              <w:rPr>
                <w:color w:val="auto"/>
                <w:highlight w:val="none"/>
              </w:rPr>
            </w:pPr>
            <w:r>
              <w:rPr>
                <w:rFonts w:hint="eastAsia"/>
                <w:color w:val="auto"/>
                <w:highlight w:val="none"/>
              </w:rPr>
              <w:t>1、竞选人须随身携带以上所有复印件的原件（除身份证、带二维码的营业执照、带二维码的资质证书、网上截图及已提供承诺书原件的以外）至比选会现场，并在递交投标文件时一次性提交，评选委员会不接受竞选人补充提交的原件，评选委员会审查时必须核验有关证明和证件的原件，若原件不齐或复印件与原件不一致，均按废标处理。</w:t>
            </w:r>
          </w:p>
          <w:p>
            <w:pPr>
              <w:autoSpaceDE w:val="0"/>
              <w:autoSpaceDN w:val="0"/>
              <w:adjustRightInd w:val="0"/>
              <w:snapToGrid w:val="0"/>
              <w:spacing w:line="440" w:lineRule="exact"/>
              <w:ind w:right="37" w:firstLine="420"/>
              <w:jc w:val="left"/>
              <w:rPr>
                <w:color w:val="auto"/>
                <w:highlight w:val="none"/>
              </w:rPr>
            </w:pPr>
            <w:r>
              <w:rPr>
                <w:rFonts w:hint="eastAsia"/>
                <w:color w:val="auto"/>
                <w:highlight w:val="none"/>
              </w:rPr>
              <w:t>2、上述要求提供的各项证件及资料，因年检等原因暂时无法提供相关证件原件的，须提供行业行政主管部门出具相关证明原件；确因行业行政主管部门不出具相关证明的，需提供相关职能单位出具的相关证明原件及复印件。</w:t>
            </w:r>
          </w:p>
          <w:p>
            <w:pPr>
              <w:autoSpaceDE w:val="0"/>
              <w:autoSpaceDN w:val="0"/>
              <w:adjustRightInd w:val="0"/>
              <w:snapToGrid w:val="0"/>
              <w:spacing w:line="440" w:lineRule="exact"/>
              <w:ind w:right="37" w:firstLine="420"/>
              <w:jc w:val="left"/>
              <w:rPr>
                <w:color w:val="auto"/>
                <w:highlight w:val="none"/>
              </w:rPr>
            </w:pPr>
            <w:r>
              <w:rPr>
                <w:rFonts w:hint="eastAsia"/>
                <w:color w:val="auto"/>
                <w:highlight w:val="none"/>
              </w:rPr>
              <w:t>3、开标后若查询发现竞选人若在司法部门有行贿处罚记录，如果中选，将取消中选资格，同时不予退还竞选保证金。</w:t>
            </w:r>
          </w:p>
          <w:p>
            <w:pPr>
              <w:autoSpaceDE w:val="0"/>
              <w:autoSpaceDN w:val="0"/>
              <w:adjustRightInd w:val="0"/>
              <w:snapToGrid w:val="0"/>
              <w:spacing w:line="440" w:lineRule="exact"/>
              <w:ind w:right="37" w:firstLine="420"/>
              <w:jc w:val="left"/>
              <w:rPr>
                <w:color w:val="auto"/>
                <w:highlight w:val="none"/>
              </w:rPr>
            </w:pPr>
            <w:r>
              <w:rPr>
                <w:rFonts w:hint="eastAsia"/>
                <w:color w:val="auto"/>
                <w:highlight w:val="none"/>
              </w:rPr>
              <w:t>4、</w:t>
            </w:r>
            <w:r>
              <w:rPr>
                <w:rFonts w:hint="eastAsia"/>
                <w:b/>
                <w:bCs/>
                <w:color w:val="auto"/>
                <w:highlight w:val="none"/>
              </w:rPr>
              <w:t xml:space="preserve"> 比选人将对中选候选人提交的资格审查文件进行复核，如果中选候选人提交了虚假资料，或比选过程中弄虚作假，比选人有权取消其中选资格，同时不予退还竞选保证金。</w:t>
            </w:r>
          </w:p>
          <w:p>
            <w:pPr>
              <w:autoSpaceDE w:val="0"/>
              <w:autoSpaceDN w:val="0"/>
              <w:adjustRightInd w:val="0"/>
              <w:snapToGrid w:val="0"/>
              <w:spacing w:line="440" w:lineRule="exact"/>
              <w:ind w:right="37" w:firstLine="420"/>
              <w:jc w:val="left"/>
              <w:rPr>
                <w:color w:val="auto"/>
                <w:highlight w:val="none"/>
              </w:rPr>
            </w:pPr>
            <w:r>
              <w:rPr>
                <w:rFonts w:hint="eastAsia"/>
                <w:color w:val="auto"/>
                <w:highlight w:val="none"/>
              </w:rPr>
              <w:t>5、中选人所拟派项目管理人员中选后不得擅自更换，否则将取消其选标资格，竞选人并应承担相应责任。</w:t>
            </w:r>
          </w:p>
          <w:p>
            <w:pPr>
              <w:autoSpaceDE w:val="0"/>
              <w:autoSpaceDN w:val="0"/>
              <w:adjustRightInd w:val="0"/>
              <w:snapToGrid w:val="0"/>
              <w:spacing w:line="440" w:lineRule="exact"/>
              <w:ind w:right="37" w:firstLine="420"/>
              <w:jc w:val="left"/>
              <w:rPr>
                <w:color w:val="auto"/>
                <w:highlight w:val="none"/>
              </w:rPr>
            </w:pPr>
            <w:r>
              <w:rPr>
                <w:rFonts w:hint="eastAsia"/>
                <w:color w:val="auto"/>
                <w:highlight w:val="none"/>
              </w:rPr>
              <w:t>6、竞选人提供的养老保险证明可通过互联网在社会保险网上业务经办平台自助打印带有电子章的参保证明，或在社保经办服务大厅的社保自助一体机自助打印带</w:t>
            </w:r>
            <w:r>
              <w:rPr>
                <w:color w:val="auto"/>
                <w:highlight w:val="none"/>
              </w:rPr>
              <w:t>有电子章的参保证明，或在社保管理部门开具的养老保险缴纳证明</w:t>
            </w:r>
            <w:r>
              <w:rPr>
                <w:rFonts w:hint="eastAsia"/>
                <w:color w:val="auto"/>
                <w:highlight w:val="none"/>
              </w:rPr>
              <w:t>的</w:t>
            </w:r>
            <w:r>
              <w:rPr>
                <w:color w:val="auto"/>
                <w:highlight w:val="none"/>
              </w:rPr>
              <w:t>复印件或扫描件，</w:t>
            </w:r>
            <w:r>
              <w:rPr>
                <w:rFonts w:hint="eastAsia"/>
                <w:color w:val="auto"/>
                <w:highlight w:val="none"/>
              </w:rPr>
              <w:t>如投标人是事业单位，因政策原因无法提供社保证明的，须提供上级主管部门的事业编制证明、社保管理部门的情况说明和劳动合同复印件或扫描件予以证明，</w:t>
            </w:r>
            <w:r>
              <w:rPr>
                <w:color w:val="auto"/>
                <w:highlight w:val="none"/>
              </w:rPr>
              <w:t>否则视为无效社保</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1.4.2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是否接受</w:t>
            </w:r>
          </w:p>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联合体比选申请</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1.9.1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踏勘现场</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highlight w:val="none"/>
              </w:rPr>
              <w:t>比选人不组织，竞选人自行勘察。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1.10</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比选申请预备会</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1.11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分包</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szCs w:val="21"/>
                <w:highlight w:val="none"/>
              </w:rPr>
            </w:pPr>
            <w:r>
              <w:rPr>
                <w:rFonts w:hint="eastAsia" w:ascii="宋体" w:hAnsi="宋体" w:cs="宋体"/>
                <w:snapToGrid w:val="0"/>
                <w:color w:val="auto"/>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2.1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构成比选文件的其他材料</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比选人发出的答疑及补遗书或补充通知。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2.2.1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szCs w:val="21"/>
                <w:highlight w:val="none"/>
              </w:rPr>
              <w:t>竞选人要求澄清比选文件的截止时间</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竞选人在收到比选文件及比选相关资料后，应仔细检查比选文件的所有内容，如有残缺或文字表述不清，图纸尺寸标注不明以及存在错、碰、漏、缺、概念模糊和有可能出现歧义或理解上的偏差的内容等应在</w:t>
            </w:r>
            <w:r>
              <w:rPr>
                <w:rFonts w:hint="eastAsia" w:ascii="宋体" w:hAnsi="宋体" w:cs="宋体"/>
                <w:b/>
                <w:bCs/>
                <w:color w:val="auto"/>
                <w:kern w:val="0"/>
                <w:szCs w:val="21"/>
                <w:highlight w:val="none"/>
                <w:u w:val="single"/>
              </w:rPr>
              <w:t>2020年</w:t>
            </w:r>
            <w:r>
              <w:rPr>
                <w:rFonts w:hint="eastAsia" w:ascii="宋体" w:hAnsi="宋体" w:cs="宋体"/>
                <w:b/>
                <w:bCs/>
                <w:color w:val="auto"/>
                <w:kern w:val="0"/>
                <w:szCs w:val="21"/>
                <w:highlight w:val="none"/>
                <w:u w:val="single"/>
                <w:lang w:val="en-US" w:eastAsia="zh-CN"/>
              </w:rPr>
              <w:t>9</w:t>
            </w:r>
            <w:r>
              <w:rPr>
                <w:rFonts w:hint="eastAsia" w:ascii="宋体" w:hAnsi="宋体" w:cs="宋体"/>
                <w:b/>
                <w:bCs/>
                <w:color w:val="auto"/>
                <w:kern w:val="0"/>
                <w:szCs w:val="21"/>
                <w:highlight w:val="none"/>
                <w:u w:val="single"/>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rPr>
              <w:t>日1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:00</w:t>
            </w:r>
            <w:r>
              <w:rPr>
                <w:rFonts w:hint="eastAsia" w:ascii="宋体" w:hAnsi="宋体" w:cs="宋体"/>
                <w:color w:val="auto"/>
                <w:szCs w:val="21"/>
                <w:highlight w:val="none"/>
              </w:rPr>
              <w:t>时前以书面方式传真至比选代理机构</w:t>
            </w:r>
            <w:r>
              <w:rPr>
                <w:rFonts w:hint="eastAsia" w:ascii="宋体" w:hAnsi="宋体" w:cs="宋体"/>
                <w:color w:val="auto"/>
                <w:kern w:val="0"/>
                <w:szCs w:val="21"/>
                <w:highlight w:val="none"/>
              </w:rPr>
              <w:t>（传真：023-67718335 ，邮箱：2905485474@qq.com 联系人：龚老师）</w:t>
            </w:r>
            <w:r>
              <w:rPr>
                <w:rFonts w:hint="eastAsia" w:ascii="宋体" w:hAnsi="宋体" w:cs="宋体"/>
                <w:color w:val="auto"/>
                <w:szCs w:val="21"/>
                <w:highlight w:val="none"/>
              </w:rPr>
              <w:t>。超出规定时间提出的，比选人将不做任何形式的答疑。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highlight w:val="none"/>
              </w:rPr>
            </w:pPr>
            <w:r>
              <w:rPr>
                <w:rFonts w:hint="eastAsia" w:ascii="宋体" w:hAnsi="宋体" w:cs="宋体"/>
                <w:color w:val="auto"/>
                <w:kern w:val="0"/>
                <w:highlight w:val="none"/>
              </w:rPr>
              <w:t>2.2.2</w:t>
            </w:r>
          </w:p>
        </w:tc>
        <w:tc>
          <w:tcPr>
            <w:tcW w:w="2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比选截止时间</w:t>
            </w:r>
          </w:p>
        </w:tc>
        <w:tc>
          <w:tcPr>
            <w:tcW w:w="66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递交竞选文件时间：</w:t>
            </w:r>
            <w:r>
              <w:rPr>
                <w:rFonts w:hint="eastAsia" w:ascii="宋体" w:hAnsi="宋体" w:cs="宋体"/>
                <w:b/>
                <w:bCs/>
                <w:color w:val="auto"/>
                <w:kern w:val="0"/>
                <w:szCs w:val="21"/>
                <w:highlight w:val="none"/>
                <w:u w:val="single"/>
              </w:rPr>
              <w:t>2020</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 xml:space="preserve"> 月</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09</w:t>
            </w:r>
            <w:r>
              <w:rPr>
                <w:rFonts w:hint="eastAsia" w:ascii="宋体" w:hAnsi="宋体" w:cs="宋体"/>
                <w:b/>
                <w:bCs/>
                <w:color w:val="auto"/>
                <w:szCs w:val="21"/>
                <w:highlight w:val="none"/>
                <w:u w:val="single"/>
              </w:rPr>
              <w:t>时</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0分 2020年</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时</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0分</w:t>
            </w:r>
            <w:r>
              <w:rPr>
                <w:rFonts w:hint="eastAsia" w:ascii="宋体" w:hAnsi="宋体" w:cs="宋体"/>
                <w:color w:val="auto"/>
                <w:szCs w:val="21"/>
                <w:highlight w:val="none"/>
                <w:u w:val="single"/>
              </w:rPr>
              <w:t>（北京时间）</w:t>
            </w:r>
          </w:p>
          <w:p>
            <w:pPr>
              <w:ind w:left="105" w:leftChars="50" w:right="113"/>
              <w:rPr>
                <w:rFonts w:ascii="宋体" w:hAnsi="宋体" w:cs="宋体"/>
                <w:color w:val="auto"/>
                <w:szCs w:val="21"/>
                <w:highlight w:val="none"/>
              </w:rPr>
            </w:pPr>
            <w:r>
              <w:rPr>
                <w:rFonts w:hint="eastAsia" w:ascii="宋体" w:hAnsi="宋体" w:cs="宋体"/>
                <w:color w:val="auto"/>
                <w:szCs w:val="21"/>
                <w:highlight w:val="none"/>
              </w:rPr>
              <w:t>比选截止时间：</w:t>
            </w:r>
            <w:r>
              <w:rPr>
                <w:rFonts w:hint="eastAsia" w:ascii="宋体" w:hAnsi="宋体" w:cs="宋体"/>
                <w:b/>
                <w:bCs/>
                <w:color w:val="auto"/>
                <w:kern w:val="0"/>
                <w:szCs w:val="21"/>
                <w:highlight w:val="none"/>
                <w:u w:val="single"/>
              </w:rPr>
              <w:t>2020年</w:t>
            </w:r>
            <w:r>
              <w:rPr>
                <w:rFonts w:hint="eastAsia" w:ascii="宋体" w:hAnsi="宋体" w:cs="宋体"/>
                <w:b/>
                <w:bCs/>
                <w:color w:val="auto"/>
                <w:kern w:val="0"/>
                <w:szCs w:val="21"/>
                <w:highlight w:val="none"/>
                <w:u w:val="singl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0分</w:t>
            </w:r>
            <w:r>
              <w:rPr>
                <w:rFonts w:hint="eastAsia" w:ascii="宋体" w:hAnsi="宋体" w:cs="宋体"/>
                <w:color w:val="auto"/>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highlight w:val="none"/>
              </w:rPr>
            </w:pPr>
            <w:r>
              <w:rPr>
                <w:rFonts w:hint="eastAsia" w:ascii="宋体" w:hAnsi="宋体" w:cs="宋体"/>
                <w:color w:val="auto"/>
                <w:highlight w:val="none"/>
                <w:shd w:val="clear" w:color="auto" w:fill="FFFFFF"/>
              </w:rPr>
              <w:t>2.2.3</w:t>
            </w:r>
          </w:p>
        </w:tc>
        <w:tc>
          <w:tcPr>
            <w:tcW w:w="2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比选人对比选文件澄清的截止时间</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比选人在</w:t>
            </w:r>
            <w:r>
              <w:rPr>
                <w:rFonts w:hint="eastAsia" w:ascii="宋体" w:hAnsi="宋体" w:cs="宋体"/>
                <w:b/>
                <w:bCs/>
                <w:color w:val="auto"/>
                <w:szCs w:val="21"/>
                <w:highlight w:val="none"/>
                <w:u w:val="single"/>
              </w:rPr>
              <w:t>2020</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rPr>
              <w:t>:00</w:t>
            </w:r>
            <w:r>
              <w:rPr>
                <w:rFonts w:hint="eastAsia" w:ascii="宋体" w:hAnsi="宋体" w:cs="宋体"/>
                <w:color w:val="auto"/>
                <w:szCs w:val="21"/>
                <w:highlight w:val="none"/>
              </w:rPr>
              <w:t>时前对所有竞选人提出的问题进行书面回复, 并上传至“</w:t>
            </w:r>
            <w:r>
              <w:rPr>
                <w:rFonts w:hint="eastAsia" w:ascii="宋体" w:hAnsi="宋体" w:cs="宋体"/>
                <w:snapToGrid w:val="0"/>
                <w:color w:val="auto"/>
                <w:kern w:val="0"/>
                <w:szCs w:val="21"/>
                <w:highlight w:val="none"/>
              </w:rPr>
              <w:t>行采家”</w:t>
            </w:r>
            <w:r>
              <w:rPr>
                <w:rFonts w:hint="eastAsia" w:ascii="宋体" w:hAnsi="宋体" w:cs="宋体"/>
                <w:color w:val="auto"/>
                <w:szCs w:val="21"/>
                <w:highlight w:val="none"/>
              </w:rPr>
              <w:t>，各竞选人自行下载，不再另行通知。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3.1.1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构成竞选文件的其他材料</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highlight w:val="none"/>
              </w:rPr>
              <w:t>竞选人的书面澄清、说明和补正（但不得改变竞选文件的实质性内容）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竞选报价</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1、报价方式：工程量清单计价。</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报价范围：按本须知和第五章“工程量清单”的要求填写相应清单表格及编写总说明否则视为对竞争性比选文件不响应。竞选人的竞选报价应是本章竞选人须知前附表1.3.1项中所述的本工程合同段比选范围内的全部工程的竞选报价。</w:t>
            </w:r>
          </w:p>
          <w:p>
            <w:pPr>
              <w:autoSpaceDE w:val="0"/>
              <w:autoSpaceDN w:val="0"/>
              <w:adjustRightInd w:val="0"/>
              <w:snapToGrid w:val="0"/>
              <w:spacing w:line="440" w:lineRule="exact"/>
              <w:ind w:firstLine="420"/>
              <w:jc w:val="left"/>
              <w:rPr>
                <w:rFonts w:ascii="宋体" w:hAnsi="宋体" w:cs="宋体"/>
                <w:b/>
                <w:color w:val="auto"/>
                <w:kern w:val="0"/>
                <w:szCs w:val="21"/>
                <w:highlight w:val="none"/>
              </w:rPr>
            </w:pPr>
            <w:r>
              <w:rPr>
                <w:rFonts w:hint="eastAsia" w:ascii="宋体" w:hAnsi="宋体" w:cs="宋体"/>
                <w:color w:val="auto"/>
                <w:kern w:val="0"/>
                <w:szCs w:val="21"/>
                <w:highlight w:val="none"/>
              </w:rPr>
              <w:t>3、报价原则：本比选工程由竞选人以竞争性比选文件、合同条件、工程量清单、本次比选范围的施工设计图纸、地勘报告、现场踏勘、国家技术和经济规范及标准、《建设工程工程量清单计价规范》（GB50500-2013）、</w:t>
            </w:r>
            <w:r>
              <w:rPr>
                <w:rFonts w:hint="eastAsia" w:ascii="宋体" w:hAnsi="宋体" w:cs="宋体"/>
                <w:color w:val="auto"/>
                <w:szCs w:val="21"/>
                <w:highlight w:val="none"/>
              </w:rPr>
              <w:t>《房屋建筑与装饰工程工程量计算规范》（GB50854-2013）、《通用安装工程工程量计算规范》（GB50856-2013）</w:t>
            </w:r>
            <w:r>
              <w:rPr>
                <w:rFonts w:hint="eastAsia" w:ascii="宋体" w:hAnsi="宋体" w:cs="宋体"/>
                <w:color w:val="auto"/>
                <w:kern w:val="0"/>
                <w:szCs w:val="21"/>
                <w:highlight w:val="none"/>
              </w:rPr>
              <w:t>《重庆市建设工程工程量清单计价规则》（CQJJGZ-2013）、《重庆市建设工程工程量计算规则》（CQJLGZ-2013）、《重庆市房屋建筑与装饰工程计价定额》（CQJZZSDE-2018）、《重庆市通用安装工程计价定额》（CQAZDE-2018）、</w:t>
            </w:r>
            <w:r>
              <w:rPr>
                <w:rFonts w:hint="eastAsia" w:ascii="宋体" w:hAnsi="宋体" w:cs="宋体"/>
                <w:color w:val="auto"/>
                <w:szCs w:val="21"/>
                <w:highlight w:val="none"/>
              </w:rPr>
              <w:t>《重庆市房屋修缮工程计价定额》（CQXSDE-2018）</w:t>
            </w:r>
            <w:r>
              <w:rPr>
                <w:rFonts w:hint="eastAsia" w:ascii="宋体" w:hAnsi="宋体" w:cs="宋体"/>
                <w:color w:val="auto"/>
                <w:kern w:val="0"/>
                <w:szCs w:val="21"/>
                <w:highlight w:val="none"/>
              </w:rPr>
              <w:t>、《重庆市建设工程施工机械台班定额》（CQJXDE-2018）、《重庆市建设工程施工仪器仪表台班定额》（CQYQYBDE-2018）、《重庆市建设工程混凝土及砂浆配合比表》（CQPHBB-2018）、《重庆市建设工程费用定额》（CQFYDE-2018）、</w:t>
            </w:r>
            <w:r>
              <w:rPr>
                <w:rFonts w:cs="MingLiU"/>
                <w:color w:val="auto"/>
                <w:kern w:val="0"/>
                <w:highlight w:val="none"/>
              </w:rPr>
              <w:t>《重庆市住房和城乡建设委员会关于适用增值税新税率调整建设工程计价依据的通知》（渝建〔2018〕195号）</w:t>
            </w:r>
            <w:r>
              <w:rPr>
                <w:rFonts w:hint="eastAsia" w:cs="MingLiU"/>
                <w:color w:val="auto"/>
                <w:kern w:val="0"/>
                <w:highlight w:val="none"/>
              </w:rPr>
              <w:t>、</w:t>
            </w:r>
            <w:r>
              <w:rPr>
                <w:rFonts w:hint="eastAsia" w:ascii="宋体" w:hAnsi="宋体"/>
                <w:color w:val="auto"/>
                <w:szCs w:val="21"/>
                <w:highlight w:val="none"/>
              </w:rPr>
              <w:t>重庆市住房和城乡建设委员会《</w:t>
            </w:r>
            <w:r>
              <w:rPr>
                <w:rFonts w:ascii="宋体" w:hAnsi="宋体"/>
                <w:color w:val="auto"/>
                <w:szCs w:val="21"/>
                <w:highlight w:val="none"/>
              </w:rPr>
              <w:t>关于适用增值税新税率调整建设工程计价依据的通知</w:t>
            </w:r>
            <w:r>
              <w:rPr>
                <w:rFonts w:hint="eastAsia" w:ascii="宋体" w:hAnsi="宋体"/>
                <w:color w:val="auto"/>
                <w:szCs w:val="21"/>
                <w:highlight w:val="none"/>
              </w:rPr>
              <w:t>》（渝建〔</w:t>
            </w:r>
            <w:r>
              <w:rPr>
                <w:rFonts w:ascii="宋体" w:hAnsi="宋体"/>
                <w:color w:val="auto"/>
                <w:szCs w:val="21"/>
                <w:highlight w:val="none"/>
              </w:rPr>
              <w:t>2019〕143</w:t>
            </w:r>
            <w:r>
              <w:rPr>
                <w:rFonts w:hint="eastAsia" w:ascii="宋体" w:hAnsi="宋体"/>
                <w:color w:val="auto"/>
                <w:szCs w:val="21"/>
                <w:highlight w:val="none"/>
              </w:rPr>
              <w:t>号）</w:t>
            </w:r>
            <w:r>
              <w:rPr>
                <w:rFonts w:hint="eastAsia" w:ascii="宋体" w:hAnsi="宋体" w:cs="宋体"/>
                <w:color w:val="auto"/>
                <w:kern w:val="0"/>
                <w:szCs w:val="21"/>
                <w:highlight w:val="none"/>
              </w:rPr>
              <w:t>及相关配套文件等国家及地方相关规定为依据，由竞选人结合自身实力、市场行情自主合理报价。竞选报价应包括完成比选范围内明示或暗示的工程项目的人工费、材料费、机械费、企业管理费、利润、风险费用、措施费、规费、税金、政策性文件规定的所有费用。竞选人应认真填写工程量清单中所列的本合同各工程子目的单价或总价。竞选人没有填入单价或总价的工程子目，比选人将认为该子目的价款已包括在工程量清单其他子目的单价和总价中</w:t>
            </w:r>
            <w:r>
              <w:rPr>
                <w:rFonts w:hint="eastAsia" w:ascii="宋体" w:hAnsi="宋体" w:cs="宋体"/>
                <w:b/>
                <w:color w:val="auto"/>
                <w:kern w:val="0"/>
                <w:szCs w:val="21"/>
                <w:highlight w:val="none"/>
              </w:rPr>
              <w:t>。竞选人在工程量清单中多报的子目和单价或总价比选人将不予接受，并将被视为重大偏差，按废标处理。</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4、人工费：本工程人工单价由各竞选人结合市场行情自主测算计入各分部分项综合单价中，中选后不再调整。</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5、材料费：</w:t>
            </w:r>
            <w:r>
              <w:rPr>
                <w:rFonts w:hint="eastAsia" w:ascii="宋体" w:hAnsi="宋体" w:cs="宋体"/>
                <w:snapToGrid w:val="0"/>
                <w:color w:val="auto"/>
                <w:kern w:val="0"/>
                <w:szCs w:val="21"/>
                <w:highlight w:val="none"/>
              </w:rPr>
              <w:t>本工程所需的材料、设备由各竞选人参照</w:t>
            </w:r>
            <w:r>
              <w:rPr>
                <w:rFonts w:hint="eastAsia" w:ascii="宋体" w:hAnsi="宋体" w:cs="宋体"/>
                <w:color w:val="auto"/>
                <w:kern w:val="0"/>
                <w:szCs w:val="21"/>
                <w:highlight w:val="none"/>
              </w:rPr>
              <w:t>最近一期</w:t>
            </w:r>
            <w:r>
              <w:rPr>
                <w:rFonts w:hint="eastAsia" w:ascii="宋体" w:hAnsi="宋体" w:cs="宋体"/>
                <w:snapToGrid w:val="0"/>
                <w:color w:val="auto"/>
                <w:kern w:val="0"/>
                <w:szCs w:val="21"/>
                <w:highlight w:val="none"/>
              </w:rPr>
              <w:t>《重庆工程造价信息》公布的指导价格并结合市场行情以及竞选人的自身实力自主报价，中选后材料、设备价格均不作调整（暂估价材料除外）。</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5.1 本工程所需材料、设备由中选人采购，但所采购的材料必须符合国家规范标准及设计文件、竞争性比选文件要求，并提供相应合格证明资料、质保书，同时须报监理单位和比选人批准同意后方可采购。</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5.2 本工程材料、设备、构件、成品及半成品的运输距离、仓储、保管、库损、二次及多次转运、弃渣外运距离等由竞选人根据自身情况及踏勘现场情况自行确定并综合考虑到报价中,不再另行计取。</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6、措施项目费：措施项目费清单包括施工组织措施项目清单和施工技术措施项目清单两部分。</w:t>
            </w:r>
          </w:p>
          <w:p>
            <w:pPr>
              <w:tabs>
                <w:tab w:val="left" w:pos="2032"/>
              </w:tabs>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6.1 施工组织措施项目清单（除安全文明施工费）：</w:t>
            </w:r>
            <w:r>
              <w:rPr>
                <w:rFonts w:hint="eastAsia" w:ascii="宋体" w:hAnsi="宋体" w:cs="宋体"/>
                <w:color w:val="auto"/>
                <w:kern w:val="0"/>
                <w:highlight w:val="none"/>
              </w:rPr>
              <w:t>竞选人按比选人给出的施工组织措施项目清单并结合本工程的实际情况和国家及重庆市相关管理规定自主报价。如果漏项或不报价，视为已包含在其他项目清单综合单价内。如中选费率低于规定费率，按中选费率结算，若中选费率高于规定费率，则按规定费率进行结算</w:t>
            </w:r>
            <w:r>
              <w:rPr>
                <w:rFonts w:hint="eastAsia" w:ascii="宋体" w:hAnsi="宋体" w:cs="宋体"/>
                <w:color w:val="auto"/>
                <w:kern w:val="0"/>
                <w:szCs w:val="21"/>
                <w:highlight w:val="none"/>
              </w:rPr>
              <w:t>。</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6.2 施工技术措施项目清单：技术措施清单中在本次比选范围内以项计列的项目，由竞选人根据现场踏勘情况及本工程的实际情况结合自身施工组织设计，以项为单位自行报价，技术措施清单中以项目编码、项目名称、项目特征、工程内容、工程量及计量单位列项的项目，竞选人必须按比选人给出的施工技术措施项目清单进行报价，不得擅自变改比选人提供的施工技术措施项目清单中的序号、项目编码、项目名称、项目特征、工程内容、工程量及计量单位，否则视为对竞争性比选文件不作实质性响应，其竞选文件作否决投标处理。中选后不论何种因素影响，相应的综合单价不作调整，工程量按</w:t>
            </w:r>
            <w:r>
              <w:rPr>
                <w:rFonts w:hint="eastAsia" w:ascii="宋体" w:hAnsi="宋体" w:cs="宋体"/>
                <w:color w:val="auto"/>
                <w:szCs w:val="21"/>
                <w:highlight w:val="none"/>
              </w:rPr>
              <w:t>《房屋建筑与装饰工程工程量计算规范》（GB50854-2013）、《通用安装工程工程量计算规范》（GB50856-2013）、</w:t>
            </w:r>
            <w:r>
              <w:rPr>
                <w:rFonts w:hint="eastAsia" w:ascii="宋体" w:hAnsi="宋体" w:cs="宋体"/>
                <w:color w:val="auto"/>
                <w:kern w:val="0"/>
                <w:szCs w:val="21"/>
                <w:highlight w:val="none"/>
              </w:rPr>
              <w:t>《重庆市建设工程工程量计算规则》（CQJLGZ-2013）规定的计量规则及工程量清单说明按实计量。</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548485875854</w:t>
            </w:r>
            <w:r>
              <w:rPr>
                <w:rFonts w:hint="eastAsia" w:ascii="宋体" w:hAnsi="宋体" w:cs="宋体"/>
                <w:color w:val="auto"/>
                <w:kern w:val="0"/>
                <w:szCs w:val="21"/>
                <w:highlight w:val="none"/>
              </w:rPr>
              <w:t>工程量清单项、量</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7.1 如果比选人提供的工程量清单中的清单项和工程量与施工图中工程量不一致，竞选人应于本须知2.2.1项中规定的时间前通知比选人核查，除比选人对工程量清单主动补遗或对竞选人质疑作修改外，应以工程量清单中列出的工程量为准。竞选人在编制竞选报价时不得擅自变改比选人提供的分部分项工程量清单中的序号、项目编码、项目名称、项目特征、工程内容、工程量及计量单位，否则视为对竞争性比选文件不作实质性响应，其竞选文件按废标处理；若评标时未发现的修改，在实施时将按有利于比选人的原则进行修正。</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7.2 工程量清单中给出的工程量是估算量或暂定量，是为竞选报价确定的共同的基础，不能作为最终结算的依据。实际工程量应是按</w:t>
            </w:r>
            <w:r>
              <w:rPr>
                <w:rFonts w:hint="eastAsia" w:ascii="宋体" w:hAnsi="宋体" w:cs="宋体"/>
                <w:color w:val="auto"/>
                <w:szCs w:val="21"/>
                <w:highlight w:val="none"/>
              </w:rPr>
              <w:t>《房屋建筑与装饰工程工程量计算规范》（GB50854-2013）、《通用安装工程工程量计算规范》（GB50856-2013）、</w:t>
            </w:r>
            <w:r>
              <w:rPr>
                <w:rFonts w:hint="eastAsia" w:ascii="宋体" w:hAnsi="宋体" w:cs="宋体"/>
                <w:color w:val="auto"/>
                <w:kern w:val="0"/>
                <w:szCs w:val="21"/>
                <w:highlight w:val="none"/>
              </w:rPr>
              <w:t>《重庆市建设工程工程量计算规则》（CQJLGZ-2013）约定的计量规则计算的实际合格工程量。</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7.3 本工程各分部分项工程量清单子项不论其对应的项目特征和工作内容是否描述完整，都将被认为已包括《建设工程工程量清单计价规范》（CQJJGZ -2013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税金、安全文明施工费、措施费、规费外的所有费用以及合同文件中明示或暗示的应由中选人承担的所有责任、义务、风险及相应的费用。本次比选工程量清单范围内的中选综合单价不调整，变更部分详见工程结算原则。</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7.4 工程量清单中规定了暂估材料单价或暂列金额项目或专业工程暂估价，竞选人必须按规定的暂估或暂定金额进行报价，竞选人不得修改，否则视为对竞争性比选文件不作实质性响应，其竞选文件作否决投标处理；若评标时未发现的修改，在实施时将按有利于比选人的原则进行修正。</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7.5 竞选人必须严格按比选人提供的《工程量清单》格式内所有项目进行报价；不得出现漏项或增项，否则视为对竞争性比选文件不作实质性响应，其竞选文件作否决投标处理。报价空白或报价为零，则视为该子项的价款已包括在工程量清单其他子目的单价和合价中，中选后必须完成该子项工作内容，比选人不对该子项进行结算与支付。施工过程中，因比选人原因需要对报价空白或报价为零的项目减少实施工程量或不予实施，比选人将按竞选报价时计价原则计算出该项的综合单价以及相应的规费、安全文明施工费用、措施费和税金，并据此从结算价中扣除。</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7.6 本工程量清单中“项目特征及主要工程内容”描述不作为竞选报价的唯一依据，竞选人应根据分部分项工程量清单计价表中“项目特征和主要工程内容”的描述结合竞争性比选文件中的竞选人须知、通用合同条款、专用合同条款、技术标准和要求、施工设计图纸和对现场的勘察情况等一起阅读和理解并确定报价。</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7.7 竞选人的报价中各单位工程项目名称、项目特征或工程内容相同清单项的综合单价必须相同，</w:t>
            </w:r>
            <w:r>
              <w:rPr>
                <w:rFonts w:hint="eastAsia" w:ascii="宋体" w:hAnsi="宋体" w:cs="宋体"/>
                <w:color w:val="auto"/>
                <w:kern w:val="0"/>
                <w:highlight w:val="none"/>
              </w:rPr>
              <w:t>否则视为对竞争性比选文件不作实质性响应，</w:t>
            </w:r>
            <w:r>
              <w:rPr>
                <w:rFonts w:hint="eastAsia" w:ascii="宋体" w:hAnsi="宋体" w:cs="宋体"/>
                <w:b/>
                <w:bCs/>
                <w:color w:val="auto"/>
                <w:kern w:val="0"/>
                <w:szCs w:val="21"/>
                <w:highlight w:val="none"/>
              </w:rPr>
              <w:t>其竞选文件作否决投标处理</w:t>
            </w:r>
            <w:r>
              <w:rPr>
                <w:rFonts w:hint="eastAsia" w:ascii="宋体" w:hAnsi="宋体" w:cs="宋体"/>
                <w:color w:val="auto"/>
                <w:kern w:val="0"/>
                <w:highlight w:val="none"/>
              </w:rPr>
              <w:t>。</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8、安全文明施工费：</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highlight w:val="none"/>
              </w:rPr>
              <w:t>本工程安全文明施工费由比选人根据</w:t>
            </w:r>
            <w:r>
              <w:rPr>
                <w:rFonts w:hint="eastAsia" w:ascii="宋体" w:hAnsi="宋体" w:cs="宋体"/>
                <w:caps/>
                <w:color w:val="auto"/>
                <w:kern w:val="0"/>
                <w:szCs w:val="21"/>
                <w:highlight w:val="none"/>
              </w:rPr>
              <w:t>《关于印发&lt;重庆市建设工程安全文明施工费计取及使用管理规定&gt;的通知》（渝建发[2014]25号）</w:t>
            </w:r>
            <w:r>
              <w:rPr>
                <w:rFonts w:hint="eastAsia" w:ascii="宋体" w:hAnsi="宋体" w:cs="宋体"/>
                <w:color w:val="auto"/>
                <w:kern w:val="0"/>
                <w:szCs w:val="21"/>
                <w:highlight w:val="none"/>
              </w:rPr>
              <w:t>和</w:t>
            </w:r>
            <w:r>
              <w:rPr>
                <w:rFonts w:hint="eastAsia" w:ascii="宋体" w:hAnsi="宋体" w:cs="MingLiU"/>
                <w:color w:val="auto"/>
                <w:kern w:val="0"/>
                <w:szCs w:val="21"/>
                <w:highlight w:val="none"/>
              </w:rPr>
              <w:t xml:space="preserve"> 《重庆市建设工程费用定额》（CQFYDE-2018）</w:t>
            </w:r>
            <w:r>
              <w:rPr>
                <w:rFonts w:hint="eastAsia" w:ascii="宋体" w:hAnsi="宋体" w:cs="宋体"/>
                <w:color w:val="auto"/>
                <w:kern w:val="0"/>
                <w:highlight w:val="none"/>
              </w:rPr>
              <w:t>的相关规定和费用标准单列计算，安全文明施工费暂定金额为</w:t>
            </w:r>
            <w:r>
              <w:rPr>
                <w:rFonts w:hint="eastAsia" w:ascii="宋体" w:hAnsi="宋体" w:cs="宋体"/>
                <w:b/>
                <w:bCs/>
                <w:snapToGrid w:val="0"/>
                <w:color w:val="auto"/>
                <w:kern w:val="0"/>
                <w:szCs w:val="21"/>
                <w:highlight w:val="none"/>
                <w:u w:val="single"/>
              </w:rPr>
              <w:t>14096.47</w:t>
            </w:r>
            <w:r>
              <w:rPr>
                <w:rFonts w:hint="eastAsia" w:ascii="宋体" w:hAnsi="宋体" w:cs="宋体"/>
                <w:b/>
                <w:bCs/>
                <w:snapToGrid w:val="0"/>
                <w:color w:val="auto"/>
                <w:kern w:val="0"/>
                <w:szCs w:val="21"/>
                <w:highlight w:val="none"/>
              </w:rPr>
              <w:t>元</w:t>
            </w:r>
            <w:r>
              <w:rPr>
                <w:rFonts w:hint="eastAsia" w:ascii="宋体" w:hAnsi="宋体" w:cs="宋体"/>
                <w:color w:val="auto"/>
                <w:kern w:val="0"/>
                <w:highlight w:val="none"/>
              </w:rPr>
              <w:t>。竞选人的《竞选函》及工程量清单报价中的安全文明施工费必须按照比选人给出的暂定金额填报，否则视为对竞争性比选文件不作实质性响应，</w:t>
            </w:r>
            <w:r>
              <w:rPr>
                <w:rFonts w:hint="eastAsia" w:ascii="宋体" w:hAnsi="宋体" w:cs="宋体"/>
                <w:color w:val="auto"/>
                <w:kern w:val="0"/>
                <w:szCs w:val="21"/>
                <w:highlight w:val="none"/>
              </w:rPr>
              <w:t>其竞选文件作否决投标处理</w:t>
            </w:r>
            <w:r>
              <w:rPr>
                <w:rFonts w:hint="eastAsia" w:ascii="宋体" w:hAnsi="宋体" w:cs="宋体"/>
                <w:color w:val="auto"/>
                <w:kern w:val="0"/>
                <w:highlight w:val="none"/>
              </w:rPr>
              <w:t>。</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9.规费、税金、竣工档案编制费：</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9.1 规费：</w:t>
            </w:r>
            <w:r>
              <w:rPr>
                <w:rFonts w:hint="eastAsia" w:ascii="宋体" w:hAnsi="宋体" w:cs="宋体"/>
                <w:color w:val="auto"/>
                <w:szCs w:val="21"/>
                <w:highlight w:val="none"/>
              </w:rPr>
              <w:t>按</w:t>
            </w:r>
            <w:r>
              <w:rPr>
                <w:rFonts w:hint="eastAsia" w:ascii="宋体" w:hAnsi="宋体" w:cs="宋体"/>
                <w:color w:val="auto"/>
                <w:kern w:val="0"/>
                <w:szCs w:val="21"/>
                <w:highlight w:val="none"/>
              </w:rPr>
              <w:t>《重庆市建设工程费用定额》（CQFYDE-2018）</w:t>
            </w:r>
            <w:r>
              <w:rPr>
                <w:rFonts w:hint="eastAsia" w:ascii="宋体" w:hAnsi="宋体" w:cs="宋体"/>
                <w:color w:val="auto"/>
                <w:szCs w:val="21"/>
                <w:highlight w:val="none"/>
              </w:rPr>
              <w:t>及相关规定执行。</w:t>
            </w:r>
          </w:p>
          <w:p>
            <w:pPr>
              <w:adjustRightInd w:val="0"/>
              <w:spacing w:line="440" w:lineRule="exact"/>
              <w:ind w:right="113"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9.2 税金：</w:t>
            </w:r>
            <w:r>
              <w:rPr>
                <w:rFonts w:hint="eastAsia" w:ascii="宋体" w:hAnsi="宋体"/>
                <w:color w:val="auto"/>
                <w:kern w:val="0"/>
                <w:highlight w:val="none"/>
              </w:rPr>
              <w:t>本工程税金按《重庆市城乡建设委员会关于建筑业营业税改征增值税调整建设工程计价依据的通知》（渝建发（2016）35号）</w:t>
            </w:r>
            <w:r>
              <w:rPr>
                <w:rFonts w:hint="eastAsia" w:ascii="宋体" w:hAnsi="宋体" w:cs="宋体"/>
                <w:b/>
                <w:bCs/>
                <w:color w:val="auto"/>
                <w:szCs w:val="21"/>
                <w:highlight w:val="none"/>
              </w:rPr>
              <w:t>和《重庆市城乡建设委员会关于适用增值税新税率调整建设工程计价依据的通知》渝建〔2018〕195号文、</w:t>
            </w:r>
            <w:r>
              <w:rPr>
                <w:rFonts w:hint="eastAsia" w:ascii="宋体" w:hAnsi="宋体"/>
                <w:b/>
                <w:bCs/>
                <w:color w:val="auto"/>
                <w:highlight w:val="none"/>
              </w:rPr>
              <w:t>《</w:t>
            </w:r>
            <w:r>
              <w:rPr>
                <w:rFonts w:hint="eastAsia"/>
                <w:b/>
                <w:bCs/>
                <w:color w:val="auto"/>
                <w:highlight w:val="none"/>
              </w:rPr>
              <w:t>重庆市住房和城乡建设委员会关于适用增值税新税率调整建设工程计价依据的通知</w:t>
            </w:r>
            <w:r>
              <w:rPr>
                <w:rFonts w:hint="eastAsia" w:ascii="宋体" w:hAnsi="宋体"/>
                <w:b/>
                <w:bCs/>
                <w:color w:val="auto"/>
                <w:highlight w:val="none"/>
              </w:rPr>
              <w:t>》</w:t>
            </w:r>
            <w:r>
              <w:rPr>
                <w:rFonts w:hint="eastAsia"/>
                <w:b/>
                <w:bCs/>
                <w:color w:val="auto"/>
                <w:highlight w:val="none"/>
              </w:rPr>
              <w:t>渝建</w:t>
            </w:r>
            <w:r>
              <w:rPr>
                <w:rFonts w:hint="eastAsia" w:ascii="宋体" w:hAnsi="宋体"/>
                <w:b/>
                <w:bCs/>
                <w:color w:val="auto"/>
                <w:highlight w:val="none"/>
              </w:rPr>
              <w:t>〔</w:t>
            </w:r>
            <w:r>
              <w:rPr>
                <w:rFonts w:hint="eastAsia"/>
                <w:b/>
                <w:bCs/>
                <w:color w:val="auto"/>
                <w:highlight w:val="none"/>
              </w:rPr>
              <w:t>2019</w:t>
            </w:r>
            <w:r>
              <w:rPr>
                <w:rFonts w:hint="eastAsia" w:ascii="宋体" w:hAnsi="宋体"/>
                <w:b/>
                <w:bCs/>
                <w:color w:val="auto"/>
                <w:highlight w:val="none"/>
              </w:rPr>
              <w:t>〕</w:t>
            </w:r>
            <w:r>
              <w:rPr>
                <w:rFonts w:hint="eastAsia"/>
                <w:b/>
                <w:bCs/>
                <w:color w:val="auto"/>
                <w:highlight w:val="none"/>
              </w:rPr>
              <w:t>143号</w:t>
            </w:r>
            <w:r>
              <w:rPr>
                <w:rFonts w:hint="eastAsia" w:ascii="宋体" w:hAnsi="宋体"/>
                <w:color w:val="auto"/>
                <w:kern w:val="0"/>
                <w:highlight w:val="none"/>
              </w:rPr>
              <w:t>的要求执行</w:t>
            </w:r>
            <w:r>
              <w:rPr>
                <w:rFonts w:hint="eastAsia" w:ascii="宋体" w:hAnsi="宋体" w:cs="宋体"/>
                <w:color w:val="auto"/>
                <w:szCs w:val="21"/>
                <w:highlight w:val="none"/>
              </w:rPr>
              <w:t>。</w:t>
            </w:r>
          </w:p>
          <w:p>
            <w:pPr>
              <w:autoSpaceDE w:val="0"/>
              <w:autoSpaceDN w:val="0"/>
              <w:adjustRightInd w:val="0"/>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9.3 竣工档案编制费：</w:t>
            </w:r>
            <w:r>
              <w:rPr>
                <w:rFonts w:hint="eastAsia" w:ascii="宋体" w:hAnsi="宋体" w:cs="宋体"/>
                <w:color w:val="auto"/>
                <w:szCs w:val="21"/>
                <w:highlight w:val="none"/>
              </w:rPr>
              <w:t>按</w:t>
            </w:r>
            <w:r>
              <w:rPr>
                <w:rFonts w:hint="eastAsia" w:ascii="宋体" w:hAnsi="宋体" w:cs="宋体"/>
                <w:color w:val="auto"/>
                <w:kern w:val="0"/>
                <w:szCs w:val="21"/>
                <w:highlight w:val="none"/>
              </w:rPr>
              <w:t xml:space="preserve"> 《重庆市建设工程费用定额》（CQFYDE-2018）</w:t>
            </w:r>
            <w:r>
              <w:rPr>
                <w:rFonts w:hint="eastAsia" w:ascii="宋体" w:hAnsi="宋体" w:cs="宋体"/>
                <w:color w:val="auto"/>
                <w:szCs w:val="21"/>
                <w:highlight w:val="none"/>
              </w:rPr>
              <w:t>及相关规定执行。</w:t>
            </w:r>
          </w:p>
          <w:p>
            <w:pPr>
              <w:autoSpaceDE w:val="0"/>
              <w:autoSpaceDN w:val="0"/>
              <w:adjustRightInd w:val="0"/>
              <w:snapToGrid w:val="0"/>
              <w:spacing w:line="440" w:lineRule="exact"/>
              <w:ind w:firstLine="396"/>
              <w:jc w:val="left"/>
              <w:rPr>
                <w:rFonts w:ascii="宋体" w:hAnsi="宋体" w:cs="宋体"/>
                <w:b/>
                <w:bCs/>
                <w:color w:val="auto"/>
                <w:kern w:val="0"/>
                <w:szCs w:val="21"/>
                <w:highlight w:val="none"/>
              </w:rPr>
            </w:pPr>
            <w:r>
              <w:rPr>
                <w:rFonts w:hint="eastAsia" w:ascii="宋体" w:hAnsi="宋体" w:cs="宋体"/>
                <w:color w:val="auto"/>
                <w:spacing w:val="-6"/>
                <w:kern w:val="0"/>
                <w:szCs w:val="21"/>
                <w:highlight w:val="none"/>
              </w:rPr>
              <w:t>10.</w:t>
            </w:r>
            <w:r>
              <w:rPr>
                <w:rFonts w:hint="eastAsia" w:ascii="宋体" w:hAnsi="宋体" w:cs="宋体"/>
                <w:color w:val="auto"/>
                <w:kern w:val="0"/>
                <w:szCs w:val="21"/>
                <w:highlight w:val="none"/>
              </w:rPr>
              <w:t>根据渝建【2015】420号文件规定“从2016年1月1日起，我市新开工的房屋建筑工程和市政基础设施工程的质量检测业务应由工程项目建设单位委托，委托单位不是建设单位的质量检测报告不得作为竣工验收资料”，本次比选工程竞选报价中不再计取检验试验费用，</w:t>
            </w:r>
            <w:r>
              <w:rPr>
                <w:rFonts w:hint="eastAsia" w:ascii="宋体" w:hAnsi="宋体" w:cs="宋体"/>
                <w:b/>
                <w:bCs/>
                <w:color w:val="auto"/>
                <w:szCs w:val="21"/>
                <w:highlight w:val="none"/>
              </w:rPr>
              <w:t>中选人必须配合发包人完成试验和检验的相关工作</w:t>
            </w:r>
            <w:r>
              <w:rPr>
                <w:rFonts w:hint="eastAsia" w:ascii="宋体" w:hAnsi="宋体" w:cs="宋体"/>
                <w:b/>
                <w:bCs/>
                <w:color w:val="auto"/>
                <w:kern w:val="0"/>
                <w:szCs w:val="21"/>
                <w:highlight w:val="none"/>
              </w:rPr>
              <w:t>。</w:t>
            </w:r>
          </w:p>
          <w:p>
            <w:pPr>
              <w:spacing w:before="73" w:line="44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11</w:t>
            </w:r>
            <w:r>
              <w:rPr>
                <w:rFonts w:hint="eastAsia" w:ascii="宋体" w:hAnsi="宋体" w:cs="宋体"/>
                <w:color w:val="auto"/>
                <w:szCs w:val="21"/>
                <w:highlight w:val="none"/>
              </w:rPr>
              <w:t>.竞选人应先到工地踏勘以充分了解工地位置、地质情况、进出场道路、拆迁干扰、储存空间、装卸限制、行车干扰及任何其它足以影响承包价格的情况，任何因忽视或误解工地情况而导致的索赔或工期延长申请将不获批准。</w:t>
            </w:r>
          </w:p>
          <w:p>
            <w:pPr>
              <w:autoSpaceDE w:val="0"/>
              <w:autoSpaceDN w:val="0"/>
              <w:adjustRightInd w:val="0"/>
              <w:snapToGrid w:val="0"/>
              <w:spacing w:line="440" w:lineRule="exact"/>
              <w:ind w:firstLine="396"/>
              <w:jc w:val="left"/>
              <w:rPr>
                <w:rFonts w:ascii="宋体" w:hAnsi="宋体" w:cs="宋体"/>
                <w:color w:val="auto"/>
                <w:kern w:val="0"/>
                <w:szCs w:val="21"/>
                <w:highlight w:val="none"/>
              </w:rPr>
            </w:pPr>
            <w:r>
              <w:rPr>
                <w:rFonts w:hint="eastAsia" w:ascii="宋体" w:hAnsi="宋体" w:cs="宋体"/>
                <w:color w:val="auto"/>
                <w:szCs w:val="21"/>
                <w:highlight w:val="none"/>
              </w:rPr>
              <w:t>12.由于比选人原因导致工期延误的，比选人不负责赔偿竞选人工期延误的损失费用，但工期可以顺延。</w:t>
            </w:r>
          </w:p>
          <w:p>
            <w:pPr>
              <w:autoSpaceDE w:val="0"/>
              <w:autoSpaceDN w:val="0"/>
              <w:adjustRightInd w:val="0"/>
              <w:snapToGrid w:val="0"/>
              <w:spacing w:line="440" w:lineRule="exact"/>
              <w:ind w:firstLine="420"/>
              <w:jc w:val="left"/>
              <w:rPr>
                <w:rFonts w:ascii="宋体" w:hAnsi="宋体" w:cs="宋体"/>
                <w:color w:val="auto"/>
                <w:szCs w:val="21"/>
                <w:highlight w:val="none"/>
              </w:rPr>
            </w:pPr>
            <w:r>
              <w:rPr>
                <w:rFonts w:hint="eastAsia" w:ascii="宋体" w:hAnsi="宋体" w:cs="宋体"/>
                <w:color w:val="auto"/>
                <w:kern w:val="0"/>
                <w:szCs w:val="21"/>
                <w:highlight w:val="none"/>
              </w:rPr>
              <w:t>13．</w:t>
            </w:r>
            <w:r>
              <w:rPr>
                <w:rFonts w:hint="eastAsia" w:ascii="宋体" w:hAnsi="宋体" w:cs="宋体"/>
                <w:b/>
                <w:bCs/>
                <w:color w:val="auto"/>
                <w:szCs w:val="21"/>
                <w:highlight w:val="none"/>
              </w:rPr>
              <w:t>本工程竞选总报价设置最高限价。竞选总报价最高限价为</w:t>
            </w:r>
            <w:r>
              <w:rPr>
                <w:rFonts w:hint="eastAsia" w:ascii="宋体" w:hAnsi="宋体" w:cs="宋体"/>
                <w:b/>
                <w:bCs/>
                <w:color w:val="auto"/>
                <w:szCs w:val="21"/>
                <w:highlight w:val="none"/>
                <w:u w:val="single"/>
              </w:rPr>
              <w:t>662033.16元</w:t>
            </w:r>
            <w:r>
              <w:rPr>
                <w:rFonts w:hint="eastAsia" w:ascii="宋体" w:hAnsi="宋体" w:cs="宋体"/>
                <w:b/>
                <w:bCs/>
                <w:color w:val="auto"/>
                <w:szCs w:val="21"/>
                <w:highlight w:val="none"/>
              </w:rPr>
              <w:t>（大写</w:t>
            </w:r>
            <w:r>
              <w:rPr>
                <w:rFonts w:hint="eastAsia" w:ascii="宋体" w:hAnsi="宋体" w:cs="宋体"/>
                <w:b/>
                <w:bCs/>
                <w:snapToGrid w:val="0"/>
                <w:color w:val="auto"/>
                <w:kern w:val="0"/>
                <w:szCs w:val="21"/>
                <w:highlight w:val="none"/>
                <w:u w:val="single"/>
              </w:rPr>
              <w:t>：陆拾陆万贰仟零叁拾叁元壹角陆分</w:t>
            </w:r>
            <w:r>
              <w:rPr>
                <w:rFonts w:hint="eastAsia" w:ascii="宋体" w:hAnsi="宋体" w:cs="宋体"/>
                <w:b/>
                <w:bCs/>
                <w:snapToGrid w:val="0"/>
                <w:color w:val="auto"/>
                <w:kern w:val="0"/>
                <w:szCs w:val="21"/>
                <w:highlight w:val="none"/>
              </w:rPr>
              <w:t>），其中含安全文明施工费暂定金额：</w:t>
            </w:r>
            <w:r>
              <w:rPr>
                <w:rFonts w:hint="eastAsia" w:ascii="宋体" w:hAnsi="宋体" w:cs="宋体"/>
                <w:b/>
                <w:bCs/>
                <w:snapToGrid w:val="0"/>
                <w:color w:val="auto"/>
                <w:kern w:val="0"/>
                <w:szCs w:val="21"/>
                <w:highlight w:val="none"/>
                <w:u w:val="single"/>
              </w:rPr>
              <w:t>14096.47</w:t>
            </w:r>
            <w:r>
              <w:rPr>
                <w:rFonts w:hint="eastAsia" w:ascii="宋体" w:hAnsi="宋体" w:cs="宋体"/>
                <w:b/>
                <w:bCs/>
                <w:snapToGrid w:val="0"/>
                <w:color w:val="auto"/>
                <w:kern w:val="0"/>
                <w:szCs w:val="21"/>
                <w:highlight w:val="none"/>
              </w:rPr>
              <w:t>元。</w:t>
            </w:r>
            <w:r>
              <w:rPr>
                <w:rFonts w:hint="eastAsia" w:ascii="宋体" w:hAnsi="宋体" w:cs="宋体"/>
                <w:bCs/>
                <w:snapToGrid w:val="0"/>
                <w:color w:val="auto"/>
                <w:kern w:val="0"/>
                <w:szCs w:val="21"/>
                <w:highlight w:val="none"/>
              </w:rPr>
              <w:t>各</w:t>
            </w:r>
            <w:r>
              <w:rPr>
                <w:rFonts w:hint="eastAsia" w:ascii="宋体" w:hAnsi="宋体" w:cs="宋体"/>
                <w:color w:val="auto"/>
                <w:szCs w:val="21"/>
                <w:highlight w:val="none"/>
              </w:rPr>
              <w:t>竞选人的竞选总报价不得超过的最高限价</w:t>
            </w:r>
            <w:r>
              <w:rPr>
                <w:rFonts w:hint="eastAsia" w:ascii="宋体" w:hAnsi="宋体" w:cs="宋体"/>
                <w:snapToGrid w:val="0"/>
                <w:color w:val="auto"/>
                <w:kern w:val="0"/>
                <w:szCs w:val="21"/>
                <w:highlight w:val="none"/>
              </w:rPr>
              <w:t>，否则，</w:t>
            </w:r>
            <w:r>
              <w:rPr>
                <w:rFonts w:hint="eastAsia" w:ascii="宋体" w:hAnsi="宋体" w:cs="宋体"/>
                <w:color w:val="auto"/>
                <w:kern w:val="0"/>
                <w:szCs w:val="21"/>
                <w:highlight w:val="none"/>
              </w:rPr>
              <w:t>其竞选文件作否决投标处理</w:t>
            </w:r>
            <w:r>
              <w:rPr>
                <w:rFonts w:hint="eastAsia" w:ascii="宋体" w:hAnsi="宋体" w:cs="宋体"/>
                <w:snapToGrid w:val="0"/>
                <w:color w:val="auto"/>
                <w:kern w:val="0"/>
                <w:szCs w:val="21"/>
                <w:highlight w:val="none"/>
              </w:rPr>
              <w:t>。</w:t>
            </w:r>
            <w:r>
              <w:rPr>
                <w:rFonts w:hint="eastAsia" w:ascii="宋体" w:hAnsi="宋体" w:cs="宋体"/>
                <w:color w:val="auto"/>
                <w:szCs w:val="21"/>
                <w:highlight w:val="none"/>
              </w:rPr>
              <w:t>安全文明施工费和暂列金必须按比选人给定的金额填报，不得浮动，否则，</w:t>
            </w:r>
            <w:r>
              <w:rPr>
                <w:rFonts w:hint="eastAsia" w:ascii="宋体" w:hAnsi="宋体" w:cs="宋体"/>
                <w:color w:val="auto"/>
                <w:kern w:val="0"/>
                <w:szCs w:val="21"/>
                <w:highlight w:val="none"/>
              </w:rPr>
              <w:t>其竞选文件作否决投标处理</w:t>
            </w:r>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比选人工程量清单总报价与竞选函中的总报价应一致，若出现不一致时，</w:t>
            </w:r>
            <w:r>
              <w:rPr>
                <w:rFonts w:hint="eastAsia" w:ascii="宋体" w:hAnsi="宋体" w:cs="宋体"/>
                <w:color w:val="auto"/>
                <w:kern w:val="0"/>
                <w:highlight w:val="none"/>
              </w:rPr>
              <w:t>视为对竞争性比选文件不作实质性响应，</w:t>
            </w:r>
            <w:r>
              <w:rPr>
                <w:rFonts w:hint="eastAsia" w:ascii="宋体" w:hAnsi="宋体" w:cs="宋体"/>
                <w:color w:val="auto"/>
                <w:kern w:val="0"/>
                <w:szCs w:val="21"/>
                <w:highlight w:val="none"/>
              </w:rPr>
              <w:t>其竞选文件作否决投标处理</w:t>
            </w:r>
            <w:r>
              <w:rPr>
                <w:rFonts w:hint="eastAsia" w:ascii="宋体"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3.3.1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比选申请有效期</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日历天（从提交竞选文件截止日起计算）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3.4.1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比选保证金</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比选保证金的缴纳由投标人自行选择以下两种方式之一交纳：</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方式一：</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1.比选保证金的交纳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（1）比选保证金的金额：</w:t>
            </w:r>
            <w:r>
              <w:rPr>
                <w:rFonts w:hint="eastAsia" w:ascii="宋体" w:hAnsi="宋体" w:cs="宋体"/>
                <w:b/>
                <w:bCs/>
                <w:color w:val="auto"/>
                <w:szCs w:val="21"/>
                <w:highlight w:val="none"/>
              </w:rPr>
              <w:t>10000人民币（大写：壹万元）</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比选保证金缴纳认定：竞选人应确保比选保证金在比选截止时间前一工作日12时00分前（北京时间，下同）从本单位基本账户转入本项目指定的保证金账户，并经核实其比选保证金进入指定帐户的为有效比选担保；比选保证金在比选截止时间前一工作日12时00分前未到达指定账户的为无效比选担保 (各竞选人在缴款时须充分考虑银行工作的时间差风险)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（3）比选保证金账户：</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户名：重庆医科大学附属康复医院</w:t>
            </w:r>
          </w:p>
          <w:p>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开户行：农行石柱分理处</w:t>
            </w:r>
          </w:p>
          <w:p>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账号：31820101040011318</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款项用途请注明：（项目名称）比选保证金（可简写）。</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2.比选保证金的退还</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在评选结束后，非中选候选人的比选保证金在发放中选通知书后5个工作日无息退还；中选候选人的比选保证金在签订施工合同后5个工作日后无息退还。</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方式二：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一、比选保证金的交纳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比选保证金交纳形式及要求：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（1）缴纳形式：投标人提供比选保函；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（2）具体要求：</w:t>
            </w:r>
            <w:r>
              <w:rPr>
                <w:rFonts w:hint="eastAsia" w:ascii="宋体" w:hAnsi="宋体" w:cs="宋体"/>
                <w:b/>
                <w:bCs/>
                <w:color w:val="auto"/>
                <w:szCs w:val="21"/>
                <w:highlight w:val="none"/>
              </w:rPr>
              <w:t>投标人提供企业的基本账户（开户行）银行开具的比选保函正本原件及开户许可证复印件加盖鲜章（原件必查）</w:t>
            </w:r>
            <w:r>
              <w:rPr>
                <w:rFonts w:hint="eastAsia" w:ascii="宋体" w:hAnsi="宋体" w:cs="宋体"/>
                <w:color w:val="auto"/>
                <w:szCs w:val="21"/>
                <w:highlight w:val="none"/>
              </w:rPr>
              <w:t>。比选保函应至少体现如下内容：①担保项目必须为本项目；②受益人必须为本项目比选人；③保函担保金额必须满足本项目要求；④保函生效日期必须在投标截止前，有效期限必须至少包含整个投标有效期；⑤担保事项必须至少包含本招标文件附件比选保函格式内容中的事项。否则，投标保函无效。竞选人的竞选文件由评标委员会作否决投标处理。</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比选保证金的金额：</w:t>
            </w:r>
            <w:r>
              <w:rPr>
                <w:rFonts w:hint="eastAsia" w:ascii="宋体" w:hAnsi="宋体" w:cs="宋体"/>
                <w:b/>
                <w:bCs/>
                <w:color w:val="auto"/>
                <w:szCs w:val="21"/>
                <w:highlight w:val="none"/>
              </w:rPr>
              <w:t>10000人民币（大写：壹万元）</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竞选人提供的比选保函不得有弄虚作假行为，否则一经比选人核实，将上报行政主管部门按照相关法律法规依法予以处理。同时，取消其中标资格，影响评标结果的将按照招标文件规定由评标委员会重新确定评标结果。比选人将在中标结果公示之前到重庆市区各相关银行核实各投标人投标保函的真实性，并将银行开具的投标保函真实有效的证明文件报项目招投标监督部门备案，纳入招投标存档资料。各投标人在开具投标保函时，须确保投标保函开具银行开具的银行保函能在重庆市主城区（区县项目应在项目所在区县城区）各相关银行中核实其真伪，否则其投标保函无效。</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4.若投标人为联合体，则由联合体牵头人提供投标保函。</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二、比选保函的注销</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应当在法定时间内确定中选人，向中标人发出中选通知书，同时向除中选候选人以外的其他竞选人退还投标保函正本并书面通知相关银行本项目准予提前注销投标保函。具体投标保函注销事宜由竞选人与银行协商。</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竞选人应在法定时间内和中选人签定合同，并同时书面通知相关银行向中选人和其他中选候选人注销投标保函。具体投标保函注销事宜由竞选人与银行协商。</w:t>
            </w:r>
          </w:p>
          <w:p>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注：1、如有下列情况之一，作否决投标处理：</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（1）竞选文件项目名称与缴纳比选保证金的项目名称不一致的；</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（2）不是从企业基本帐户转出的；</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（3）所携带的银行回单原件无法进行到帐认定的；</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（4）所缴纳的保证金金额与比选文件规定的金额不一致的；</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2、不予退还保证金的情形</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（1）竞选人在规定的比选有效期内撤销或修改其竞选文件；</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（2）中选通知书发出后，中选人无正当理由放弃中选或在规定时间内不与比选人签订合同；</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（3）中选人在收到中选通知书后，无正当理由拒签合同协议书或未按竞选文件规定提交履约担保；</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（4）在签发中选通知书前，竞选人被比选人及监督部门查实具有弄虚作假及围标串标行为；</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（5）中选候选人放弃中选的（不可抗力因素除外）；</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（6）竞争性比选文件规定的其他情形。</w:t>
            </w:r>
          </w:p>
          <w:p>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竞选人或中选人因上述原因给比选人造成的损失超过比选保证金数额的，还应对超过部分予以赔偿。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3.5</w:t>
            </w:r>
          </w:p>
        </w:tc>
        <w:tc>
          <w:tcPr>
            <w:tcW w:w="2105" w:type="dxa"/>
            <w:tcBorders>
              <w:top w:val="single" w:color="auto" w:sz="4" w:space="0"/>
              <w:left w:val="single" w:color="auto" w:sz="4" w:space="0"/>
              <w:bottom w:val="single" w:color="auto" w:sz="4" w:space="0"/>
              <w:right w:val="single" w:color="auto" w:sz="4" w:space="0"/>
            </w:tcBorders>
            <w:vAlign w:val="center"/>
          </w:tcPr>
          <w:p>
            <w:pPr>
              <w:pStyle w:val="65"/>
              <w:spacing w:line="360" w:lineRule="auto"/>
              <w:jc w:val="center"/>
              <w:rPr>
                <w:rFonts w:cs="宋体"/>
                <w:color w:val="auto"/>
                <w:sz w:val="21"/>
                <w:highlight w:val="none"/>
              </w:rPr>
            </w:pPr>
            <w:r>
              <w:rPr>
                <w:rFonts w:hint="eastAsia" w:cs="宋体"/>
                <w:color w:val="auto"/>
                <w:sz w:val="21"/>
                <w:highlight w:val="none"/>
              </w:rPr>
              <w:t>资格审查资料</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firstLine="420" w:firstLineChars="200"/>
              <w:rPr>
                <w:rFonts w:ascii="宋体" w:hAnsi="宋体" w:cs="宋体"/>
                <w:color w:val="auto"/>
                <w:kern w:val="0"/>
                <w:highlight w:val="none"/>
              </w:rPr>
            </w:pPr>
            <w:r>
              <w:rPr>
                <w:rFonts w:hint="eastAsia" w:ascii="宋体" w:hAnsi="宋体" w:cs="宋体"/>
                <w:color w:val="auto"/>
                <w:kern w:val="0"/>
                <w:szCs w:val="21"/>
                <w:highlight w:val="none"/>
              </w:rPr>
              <w:t>本须知第1.4.1项要求提供原件</w:t>
            </w:r>
            <w:r>
              <w:rPr>
                <w:rFonts w:hint="eastAsia" w:ascii="宋体" w:hAnsi="宋体" w:cs="宋体"/>
                <w:snapToGrid w:val="0"/>
                <w:color w:val="auto"/>
                <w:kern w:val="0"/>
                <w:szCs w:val="21"/>
                <w:highlight w:val="none"/>
              </w:rPr>
              <w:t>（除身份证、带二维码的营业执照、带二维码的资质证书、网上</w:t>
            </w:r>
            <w:r>
              <w:rPr>
                <w:rFonts w:hint="eastAsia" w:ascii="宋体" w:hAnsi="宋体" w:cs="宋体"/>
                <w:color w:val="auto"/>
                <w:szCs w:val="21"/>
                <w:highlight w:val="none"/>
              </w:rPr>
              <w:t>截图及</w:t>
            </w:r>
            <w:r>
              <w:rPr>
                <w:rFonts w:hint="eastAsia" w:ascii="宋体" w:hAnsi="宋体" w:cs="宋体"/>
                <w:snapToGrid w:val="0"/>
                <w:color w:val="auto"/>
                <w:kern w:val="0"/>
                <w:szCs w:val="21"/>
                <w:highlight w:val="none"/>
              </w:rPr>
              <w:t>已经提供承诺书原件的以外）</w:t>
            </w:r>
            <w:r>
              <w:rPr>
                <w:rFonts w:hint="eastAsia" w:ascii="宋体" w:hAnsi="宋体" w:cs="宋体"/>
                <w:color w:val="auto"/>
                <w:kern w:val="0"/>
                <w:szCs w:val="21"/>
                <w:highlight w:val="none"/>
              </w:rPr>
              <w:t>至开标现场备查。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3.6</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是否允许递交备选</w:t>
            </w:r>
          </w:p>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比选申请方案</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3.7.3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签字盖章要求</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szCs w:val="21"/>
                <w:highlight w:val="none"/>
              </w:rPr>
              <w:t>按本章竞选人须知3.7.3款执行。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3.7.4</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竞选文件的份数</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竞选函部分：一式三份；正本一份，副本二份；</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商务部分：一式三份；正本一份，副本二份；</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资格审查部分：一式三份；正本一份，副本二份；</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技术部分:一式三份，不分正副本</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电子文档：电子光盘或U盘一个（不分正副本）。</w:t>
            </w:r>
            <w:r>
              <w:rPr>
                <w:rFonts w:hint="eastAsia" w:ascii="宋体" w:hAnsi="宋体" w:cs="宋体"/>
                <w:b/>
                <w:bCs/>
                <w:color w:val="auto"/>
                <w:szCs w:val="21"/>
                <w:highlight w:val="none"/>
              </w:rPr>
              <w:t>【光盘或者U盘中内容为竞选函部分、商务部分、资格审查资料和技术部分全部内容（格式要求：商务部分为EXCEL格式和软件组价版，竞选函部分、资格审查资料为Word格式、技术部分为PDF格式）。光盘或U盘须贴上标签，标签上注明工程名称、竞选人名称并加盖竞选人单位公章。】</w:t>
            </w:r>
          </w:p>
          <w:p>
            <w:pPr>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注：中选人在领取中选通知书时还应提供比选人所需文件的套数，保证补充提交的竞选文件与比选时一致，否则按提供虚假竞选文件资料情形处理。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3.7.5</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格式要求</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color w:val="auto"/>
                <w:highlight w:val="none"/>
              </w:rPr>
            </w:pPr>
            <w:r>
              <w:rPr>
                <w:rFonts w:hint="eastAsia"/>
                <w:color w:val="auto"/>
                <w:highlight w:val="none"/>
              </w:rPr>
              <w:t>1、本工程技术部分《技术方案》采用暗标评审，应将竞选函部分、商务部分、技术部分、资格审查资料各自分别装订成册。</w:t>
            </w:r>
          </w:p>
          <w:p>
            <w:pPr>
              <w:snapToGrid w:val="0"/>
              <w:spacing w:line="360" w:lineRule="auto"/>
              <w:ind w:firstLine="420" w:firstLineChars="200"/>
              <w:rPr>
                <w:color w:val="auto"/>
                <w:highlight w:val="none"/>
              </w:rPr>
            </w:pPr>
            <w:r>
              <w:rPr>
                <w:rFonts w:hint="eastAsia"/>
                <w:color w:val="auto"/>
                <w:highlight w:val="none"/>
              </w:rPr>
              <w:t>2、装订</w:t>
            </w:r>
          </w:p>
          <w:p>
            <w:pPr>
              <w:snapToGrid w:val="0"/>
              <w:spacing w:line="360" w:lineRule="auto"/>
              <w:ind w:firstLine="420" w:firstLineChars="200"/>
              <w:rPr>
                <w:color w:val="auto"/>
                <w:highlight w:val="none"/>
              </w:rPr>
            </w:pPr>
            <w:r>
              <w:rPr>
                <w:rFonts w:hint="eastAsia"/>
                <w:color w:val="auto"/>
                <w:highlight w:val="none"/>
              </w:rPr>
              <w:t>（1）竞选函部分的装订要求</w:t>
            </w:r>
          </w:p>
          <w:p>
            <w:pPr>
              <w:snapToGrid w:val="0"/>
              <w:spacing w:line="360" w:lineRule="auto"/>
              <w:ind w:firstLine="420" w:firstLineChars="200"/>
              <w:rPr>
                <w:color w:val="auto"/>
                <w:highlight w:val="none"/>
              </w:rPr>
            </w:pPr>
            <w:r>
              <w:rPr>
                <w:rFonts w:hint="eastAsia"/>
                <w:color w:val="auto"/>
                <w:highlight w:val="none"/>
              </w:rPr>
              <w:t>应按照第八章规定格式装订成册，并应编制目录。</w:t>
            </w:r>
          </w:p>
          <w:p>
            <w:pPr>
              <w:snapToGrid w:val="0"/>
              <w:spacing w:line="360" w:lineRule="auto"/>
              <w:ind w:firstLine="420" w:firstLineChars="200"/>
              <w:rPr>
                <w:color w:val="auto"/>
                <w:highlight w:val="none"/>
              </w:rPr>
            </w:pPr>
            <w:r>
              <w:rPr>
                <w:rFonts w:hint="eastAsia"/>
                <w:color w:val="auto"/>
                <w:highlight w:val="none"/>
              </w:rPr>
              <w:t>（2）商务部分的装订要求</w:t>
            </w:r>
          </w:p>
          <w:p>
            <w:pPr>
              <w:snapToGrid w:val="0"/>
              <w:spacing w:line="360" w:lineRule="auto"/>
              <w:ind w:firstLine="420" w:firstLineChars="200"/>
              <w:rPr>
                <w:color w:val="auto"/>
                <w:highlight w:val="none"/>
              </w:rPr>
            </w:pPr>
            <w:r>
              <w:rPr>
                <w:rFonts w:hint="eastAsia"/>
                <w:color w:val="auto"/>
                <w:highlight w:val="none"/>
              </w:rPr>
              <w:t>应按照第八章规定格式装订成册，并应编制目录。</w:t>
            </w:r>
          </w:p>
          <w:p>
            <w:pPr>
              <w:snapToGrid w:val="0"/>
              <w:spacing w:line="360" w:lineRule="auto"/>
              <w:ind w:firstLine="420" w:firstLineChars="200"/>
              <w:rPr>
                <w:color w:val="auto"/>
                <w:highlight w:val="none"/>
              </w:rPr>
            </w:pPr>
            <w:r>
              <w:rPr>
                <w:rFonts w:hint="eastAsia"/>
                <w:color w:val="auto"/>
                <w:highlight w:val="none"/>
              </w:rPr>
              <w:t>（3）资格审查资料的装订要求</w:t>
            </w:r>
          </w:p>
          <w:p>
            <w:pPr>
              <w:snapToGrid w:val="0"/>
              <w:spacing w:line="360" w:lineRule="auto"/>
              <w:ind w:firstLine="420" w:firstLineChars="200"/>
              <w:rPr>
                <w:color w:val="auto"/>
                <w:highlight w:val="none"/>
              </w:rPr>
            </w:pPr>
            <w:r>
              <w:rPr>
                <w:rFonts w:hint="eastAsia"/>
                <w:color w:val="auto"/>
                <w:highlight w:val="none"/>
              </w:rPr>
              <w:t>应按照第八章规定格式装订成册，并应编制目录。</w:t>
            </w:r>
          </w:p>
          <w:p>
            <w:pPr>
              <w:snapToGrid w:val="0"/>
              <w:spacing w:line="360" w:lineRule="auto"/>
              <w:ind w:firstLine="420" w:firstLineChars="200"/>
              <w:rPr>
                <w:color w:val="auto"/>
                <w:highlight w:val="none"/>
              </w:rPr>
            </w:pPr>
            <w:r>
              <w:rPr>
                <w:rFonts w:hint="eastAsia"/>
                <w:color w:val="auto"/>
                <w:highlight w:val="none"/>
              </w:rPr>
              <w:t>（4）技术部分的装订要求</w:t>
            </w:r>
          </w:p>
          <w:p>
            <w:pPr>
              <w:snapToGrid w:val="0"/>
              <w:spacing w:line="360" w:lineRule="auto"/>
              <w:ind w:firstLine="420" w:firstLineChars="200"/>
              <w:rPr>
                <w:color w:val="auto"/>
                <w:highlight w:val="none"/>
              </w:rPr>
            </w:pPr>
            <w:r>
              <w:rPr>
                <w:rFonts w:hint="eastAsia"/>
                <w:color w:val="auto"/>
                <w:highlight w:val="none"/>
              </w:rPr>
              <w:t>《技术方案》面页使用A4厚型白纸面页，用初号仿宋字体居中标明 “技术方案”；在页面右下角加盖投标单位章后沿密封线折叠成腰约10cm左右的等腰直角三角形密封；面页除了“技术方案”四字和右下角密封处印章外不得有其他印记；密封后的面页及整个《技术方案》均不得出现白页、残页和倒页，不得显示与投标人企业有关的任何信息及与本工程无关内容（面页用A4厚型白纸打印，加盖鲜章后其面页的反面以不得显示出鲜章单位名称为准）；违反上述任何一项，其投标文件《技术方案》部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4.1.1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竞选文件的密封</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olor w:val="auto"/>
                <w:szCs w:val="21"/>
                <w:highlight w:val="none"/>
              </w:rPr>
            </w:pPr>
            <w:r>
              <w:rPr>
                <w:rFonts w:ascii="宋体" w:hAnsi="宋体"/>
                <w:color w:val="auto"/>
                <w:szCs w:val="21"/>
                <w:highlight w:val="none"/>
              </w:rPr>
              <w:t>1.投标文件袋使用“投标函部分”袋、“商务部分”袋、“技术部分”袋、“资格审查资料”袋以及“投标文件”大袋。</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竞选</w:t>
            </w:r>
            <w:r>
              <w:rPr>
                <w:rFonts w:ascii="宋体" w:hAnsi="宋体"/>
                <w:color w:val="auto"/>
                <w:szCs w:val="21"/>
                <w:highlight w:val="none"/>
              </w:rPr>
              <w:t>函部分</w:t>
            </w:r>
            <w:r>
              <w:rPr>
                <w:rFonts w:hint="eastAsia" w:ascii="宋体" w:hAnsi="宋体"/>
                <w:color w:val="auto"/>
                <w:szCs w:val="21"/>
                <w:highlight w:val="none"/>
              </w:rPr>
              <w:t>及电子文本（光盘或U盘）</w:t>
            </w:r>
            <w:r>
              <w:rPr>
                <w:rFonts w:ascii="宋体" w:hAnsi="宋体"/>
                <w:color w:val="auto"/>
                <w:szCs w:val="21"/>
                <w:highlight w:val="none"/>
              </w:rPr>
              <w:t>装入“投标函部分”袋中，密封并在袋上加盖投标人单位章。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ascii="宋体" w:hAnsi="宋体"/>
                <w:color w:val="auto"/>
                <w:spacing w:val="4"/>
                <w:szCs w:val="21"/>
                <w:highlight w:val="none"/>
              </w:rPr>
              <w:t>商务部分装入“商务部分”袋中，密封并在袋上加盖投标人单</w:t>
            </w:r>
            <w:r>
              <w:rPr>
                <w:rFonts w:ascii="宋体" w:hAnsi="宋体"/>
                <w:color w:val="auto"/>
                <w:szCs w:val="21"/>
                <w:highlight w:val="none"/>
              </w:rPr>
              <w:t>位章。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技术部分装入“技术部分”袋中，密封不加盖任何印章</w:t>
            </w:r>
          </w:p>
          <w:p>
            <w:pPr>
              <w:pStyle w:val="65"/>
              <w:snapToGrid w:val="0"/>
              <w:spacing w:line="440" w:lineRule="exact"/>
              <w:ind w:firstLine="420" w:firstLineChars="200"/>
              <w:jc w:val="both"/>
              <w:rPr>
                <w:rFonts w:cs="宋体"/>
                <w:color w:val="auto"/>
                <w:kern w:val="2"/>
                <w:sz w:val="21"/>
                <w:szCs w:val="21"/>
                <w:highlight w:val="none"/>
              </w:rPr>
            </w:pPr>
            <w:r>
              <w:rPr>
                <w:rFonts w:hint="eastAsia" w:cs="宋体"/>
                <w:color w:val="auto"/>
                <w:kern w:val="2"/>
                <w:sz w:val="21"/>
                <w:szCs w:val="21"/>
                <w:highlight w:val="none"/>
              </w:rPr>
              <w:t>5.“竞选函部分”、“商务部分”及“技术部分”小袋装入“投标文件”大袋中，密封并在大袋上加盖竞选人单位公章，同时“投标文件”大袋应按本表第4.1.2项的规定写明相应内容。</w:t>
            </w:r>
          </w:p>
          <w:p>
            <w:pPr>
              <w:pStyle w:val="65"/>
              <w:snapToGrid w:val="0"/>
              <w:spacing w:line="440" w:lineRule="exact"/>
              <w:ind w:firstLine="420" w:firstLineChars="200"/>
              <w:jc w:val="both"/>
              <w:rPr>
                <w:rFonts w:cs="宋体"/>
                <w:color w:val="auto"/>
                <w:kern w:val="2"/>
                <w:sz w:val="21"/>
                <w:szCs w:val="21"/>
                <w:highlight w:val="none"/>
              </w:rPr>
            </w:pPr>
            <w:r>
              <w:rPr>
                <w:rFonts w:hint="eastAsia" w:cs="宋体"/>
                <w:color w:val="auto"/>
                <w:kern w:val="2"/>
                <w:sz w:val="21"/>
                <w:szCs w:val="21"/>
                <w:highlight w:val="none"/>
              </w:rPr>
              <w:t>6.“资格审查资料”单独封装，密封并在袋上加盖竞选人单位公章，同时应按本表第4.1.2项的规定写明相应内容。</w:t>
            </w:r>
          </w:p>
          <w:p>
            <w:pPr>
              <w:pStyle w:val="65"/>
              <w:snapToGrid w:val="0"/>
              <w:spacing w:line="440" w:lineRule="exact"/>
              <w:ind w:firstLine="420" w:firstLineChars="200"/>
              <w:jc w:val="both"/>
              <w:rPr>
                <w:rFonts w:cs="宋体"/>
                <w:color w:val="auto"/>
                <w:kern w:val="2"/>
                <w:sz w:val="21"/>
                <w:szCs w:val="21"/>
                <w:highlight w:val="none"/>
              </w:rPr>
            </w:pPr>
            <w:r>
              <w:rPr>
                <w:rFonts w:hint="eastAsia" w:cs="宋体"/>
                <w:color w:val="auto"/>
                <w:kern w:val="2"/>
                <w:sz w:val="21"/>
                <w:szCs w:val="21"/>
                <w:highlight w:val="none"/>
              </w:rPr>
              <w:t>6.如果“资格审查资料”袋、“投标文件”大袋未按上述规定封装，比选人或比选代理机构应当拒绝接收；“竞选函部分”、“商务部分”、“技术部分”等小袋仅作分装使用，不作为判定密封合格的标准</w:t>
            </w:r>
            <w:r>
              <w:rPr>
                <w:rFonts w:hint="eastAsia" w:cs="宋体"/>
                <w:b/>
                <w:bCs/>
                <w:color w:val="auto"/>
                <w:kern w:val="2"/>
                <w:sz w:val="21"/>
                <w:szCs w:val="21"/>
                <w:highlight w:val="none"/>
              </w:rPr>
              <w:t>。</w:t>
            </w:r>
          </w:p>
          <w:p>
            <w:pPr>
              <w:pStyle w:val="65"/>
              <w:snapToGrid w:val="0"/>
              <w:spacing w:line="440" w:lineRule="exact"/>
              <w:ind w:firstLine="422" w:firstLineChars="200"/>
              <w:jc w:val="both"/>
              <w:rPr>
                <w:rFonts w:cs="宋体"/>
                <w:color w:val="auto"/>
                <w:kern w:val="2"/>
                <w:sz w:val="21"/>
                <w:szCs w:val="21"/>
                <w:highlight w:val="none"/>
              </w:rPr>
            </w:pPr>
            <w:r>
              <w:rPr>
                <w:rFonts w:hint="eastAsia" w:cs="宋体"/>
                <w:b/>
                <w:bCs/>
                <w:color w:val="auto"/>
                <w:kern w:val="2"/>
                <w:sz w:val="21"/>
                <w:szCs w:val="21"/>
                <w:highlight w:val="none"/>
              </w:rPr>
              <w:t>注：如因比选申请资料较多，无法装入一袋的，可以装成两袋或更多，但必须符合上述各相应资料袋的封装要求。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4.1.2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封套上写明</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168" w:firstLineChars="80"/>
              <w:jc w:val="left"/>
              <w:rPr>
                <w:rFonts w:ascii="宋体" w:hAnsi="宋体" w:cs="宋体"/>
                <w:color w:val="auto"/>
                <w:highlight w:val="none"/>
              </w:rPr>
            </w:pPr>
            <w:r>
              <w:rPr>
                <w:rFonts w:hint="eastAsia" w:ascii="宋体" w:hAnsi="宋体" w:cs="宋体"/>
                <w:color w:val="auto"/>
                <w:highlight w:val="none"/>
              </w:rPr>
              <w:t>应在“投标文件”大袋和“资格审查资料”袋封套上写明如下内容：</w:t>
            </w:r>
          </w:p>
          <w:p>
            <w:pPr>
              <w:snapToGrid w:val="0"/>
              <w:spacing w:line="360" w:lineRule="auto"/>
              <w:ind w:firstLine="168" w:firstLineChars="80"/>
              <w:rPr>
                <w:rFonts w:ascii="宋体" w:hAnsi="宋体" w:cs="宋体"/>
                <w:color w:val="auto"/>
                <w:kern w:val="0"/>
                <w:szCs w:val="21"/>
                <w:highlight w:val="none"/>
                <w:u w:val="single"/>
              </w:rPr>
            </w:pPr>
            <w:r>
              <w:rPr>
                <w:rFonts w:hint="eastAsia" w:ascii="宋体" w:hAnsi="宋体" w:cs="宋体"/>
                <w:color w:val="auto"/>
                <w:szCs w:val="21"/>
                <w:highlight w:val="none"/>
              </w:rPr>
              <w:t>比选人的地址：</w:t>
            </w:r>
          </w:p>
          <w:p>
            <w:pPr>
              <w:pStyle w:val="65"/>
              <w:snapToGrid w:val="0"/>
              <w:spacing w:line="360" w:lineRule="auto"/>
              <w:ind w:firstLine="168" w:firstLineChars="80"/>
              <w:rPr>
                <w:rFonts w:cs="宋体"/>
                <w:color w:val="auto"/>
                <w:sz w:val="21"/>
                <w:szCs w:val="21"/>
                <w:highlight w:val="none"/>
                <w:u w:val="single"/>
              </w:rPr>
            </w:pPr>
            <w:r>
              <w:rPr>
                <w:rFonts w:hint="eastAsia" w:cs="宋体"/>
                <w:color w:val="auto"/>
                <w:sz w:val="21"/>
                <w:szCs w:val="21"/>
                <w:highlight w:val="none"/>
              </w:rPr>
              <w:t>比选人名称:</w:t>
            </w:r>
            <w:r>
              <w:rPr>
                <w:rFonts w:hint="eastAsia" w:cs="宋体"/>
                <w:color w:val="auto"/>
                <w:sz w:val="21"/>
                <w:szCs w:val="21"/>
                <w:highlight w:val="none"/>
                <w:u w:val="single"/>
              </w:rPr>
              <w:t xml:space="preserve">           　      　　　   </w:t>
            </w:r>
          </w:p>
          <w:p>
            <w:pPr>
              <w:snapToGrid w:val="0"/>
              <w:spacing w:line="360" w:lineRule="auto"/>
              <w:ind w:firstLine="168" w:firstLineChars="80"/>
              <w:rPr>
                <w:rFonts w:ascii="宋体" w:hAnsi="宋体" w:cs="宋体"/>
                <w:color w:val="auto"/>
                <w:szCs w:val="21"/>
                <w:highlight w:val="none"/>
                <w:u w:val="single"/>
              </w:rPr>
            </w:pPr>
            <w:r>
              <w:rPr>
                <w:rFonts w:hint="eastAsia" w:ascii="宋体" w:hAnsi="宋体" w:cs="宋体"/>
                <w:color w:val="auto"/>
                <w:szCs w:val="21"/>
                <w:highlight w:val="none"/>
              </w:rPr>
              <w:t>竞选人名称：</w:t>
            </w:r>
          </w:p>
          <w:p>
            <w:pPr>
              <w:snapToGrid w:val="0"/>
              <w:spacing w:line="360" w:lineRule="auto"/>
              <w:ind w:firstLine="168" w:firstLineChars="80"/>
              <w:rPr>
                <w:rFonts w:ascii="宋体" w:hAnsi="宋体" w:cs="宋体"/>
                <w:color w:val="auto"/>
                <w:kern w:val="0"/>
                <w:highlight w:val="none"/>
              </w:rPr>
            </w:pPr>
            <w:r>
              <w:rPr>
                <w:rFonts w:hint="eastAsia" w:ascii="宋体" w:hAnsi="宋体" w:cs="宋体"/>
                <w:color w:val="auto"/>
                <w:kern w:val="0"/>
                <w:highlight w:val="none"/>
                <w:u w:val="single"/>
              </w:rPr>
              <w:t xml:space="preserve">                     （项目名称）</w:t>
            </w:r>
            <w:r>
              <w:rPr>
                <w:rFonts w:hint="eastAsia" w:ascii="宋体" w:hAnsi="宋体" w:cs="宋体"/>
                <w:color w:val="auto"/>
                <w:kern w:val="0"/>
                <w:highlight w:val="none"/>
              </w:rPr>
              <w:t>竞选文件</w:t>
            </w:r>
          </w:p>
          <w:p>
            <w:pPr>
              <w:snapToGrid w:val="0"/>
              <w:spacing w:line="360" w:lineRule="auto"/>
              <w:ind w:firstLine="168" w:firstLineChars="80"/>
              <w:rPr>
                <w:rFonts w:ascii="宋体" w:hAnsi="宋体" w:cs="宋体"/>
                <w:color w:val="auto"/>
                <w:szCs w:val="21"/>
                <w:highlight w:val="none"/>
              </w:rPr>
            </w:pPr>
            <w:r>
              <w:rPr>
                <w:rFonts w:hint="eastAsia" w:ascii="宋体" w:hAnsi="宋体" w:cs="宋体"/>
                <w:color w:val="auto"/>
                <w:kern w:val="0"/>
                <w:highlight w:val="none"/>
              </w:rPr>
              <w:t>在年月日时分前不得开启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4.2.2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递交竞选文件地点</w:t>
            </w:r>
          </w:p>
        </w:tc>
        <w:tc>
          <w:tcPr>
            <w:tcW w:w="6670" w:type="dxa"/>
            <w:tcBorders>
              <w:top w:val="single" w:color="auto" w:sz="4" w:space="0"/>
              <w:left w:val="single" w:color="auto" w:sz="4" w:space="0"/>
              <w:bottom w:val="single" w:color="auto" w:sz="4" w:space="0"/>
              <w:right w:val="single" w:color="auto" w:sz="4" w:space="0"/>
            </w:tcBorders>
            <w:vAlign w:val="center"/>
          </w:tcPr>
          <w:p>
            <w:pPr>
              <w:pStyle w:val="65"/>
              <w:spacing w:line="440" w:lineRule="exact"/>
              <w:jc w:val="both"/>
              <w:rPr>
                <w:rFonts w:cs="宋体"/>
                <w:color w:val="auto"/>
                <w:sz w:val="21"/>
                <w:highlight w:val="none"/>
              </w:rPr>
            </w:pPr>
            <w:r>
              <w:rPr>
                <w:rFonts w:hint="eastAsia" w:cs="宋体"/>
                <w:color w:val="auto"/>
                <w:sz w:val="21"/>
                <w:szCs w:val="24"/>
                <w:highlight w:val="none"/>
              </w:rPr>
              <w:t>新华招标有限公司重庆分公司开标室（重庆市渝北区杨柳北路力华科谷A区501）。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4.2.3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是否退还比选文件</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5.1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开标时间和地点</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kern w:val="0"/>
                <w:highlight w:val="none"/>
              </w:rPr>
            </w:pPr>
            <w:r>
              <w:rPr>
                <w:rFonts w:hint="eastAsia" w:ascii="宋体" w:hAnsi="宋体" w:cs="宋体"/>
                <w:color w:val="auto"/>
                <w:kern w:val="0"/>
                <w:highlight w:val="none"/>
              </w:rPr>
              <w:t>开标时间：同比选截止时间</w:t>
            </w:r>
          </w:p>
          <w:p>
            <w:pPr>
              <w:snapToGrid w:val="0"/>
              <w:spacing w:line="360" w:lineRule="auto"/>
              <w:rPr>
                <w:rFonts w:ascii="宋体" w:hAnsi="宋体" w:cs="宋体"/>
                <w:color w:val="auto"/>
                <w:kern w:val="0"/>
                <w:highlight w:val="none"/>
                <w:u w:val="single"/>
              </w:rPr>
            </w:pPr>
            <w:r>
              <w:rPr>
                <w:rFonts w:hint="eastAsia" w:ascii="宋体" w:hAnsi="宋体" w:cs="宋体"/>
                <w:color w:val="auto"/>
                <w:kern w:val="0"/>
                <w:highlight w:val="none"/>
              </w:rPr>
              <w:t>开标地点：</w:t>
            </w:r>
            <w:r>
              <w:rPr>
                <w:rFonts w:hint="eastAsia" w:cs="宋体"/>
                <w:color w:val="auto"/>
                <w:highlight w:val="none"/>
              </w:rPr>
              <w:t>新华招标有限公司重庆分公司开标室（重庆市渝北区杨柳北路力华科谷A区501）</w:t>
            </w:r>
            <w:r>
              <w:rPr>
                <w:rFonts w:hint="eastAsia" w:ascii="宋体"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highlight w:val="none"/>
              </w:rPr>
            </w:pPr>
            <w:r>
              <w:rPr>
                <w:rFonts w:hint="eastAsia" w:ascii="宋体" w:hAnsi="宋体" w:cs="宋体"/>
                <w:color w:val="auto"/>
                <w:kern w:val="0"/>
                <w:highlight w:val="none"/>
              </w:rPr>
              <w:t>5.2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highlight w:val="none"/>
              </w:rPr>
            </w:pPr>
            <w:r>
              <w:rPr>
                <w:rFonts w:hint="eastAsia" w:ascii="宋体" w:hAnsi="宋体" w:cs="宋体"/>
                <w:color w:val="auto"/>
                <w:kern w:val="0"/>
                <w:highlight w:val="none"/>
              </w:rPr>
              <w:t>开标程序</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主持人按下列程序进行开标：</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宣布开标纪律；</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宣布开标人、唱标人、记录人、监标人等有关人员姓名；</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公布在比选截止时间前递交竞选文件的竞选人名称，并点名确认竞选人是否派人到场；</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开标现场核验参加开标会议的竞选人的法定代表人或委托代理人本人身份证（原件），核验被委托代理人的授权委托书（原件），以确认其身份合法有效。委托代理人（项目经理）须提供20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月-2020年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月养老保险证明，在开标会现场核验养老保险证明原件并收取加盖竞选人单位公章的复印件。竞选人未派代表参加开标会的或经核验身份材料不合格的或中途离场的，视为默认开标结果且无异议权。市外企业须</w:t>
            </w:r>
            <w:r>
              <w:rPr>
                <w:rFonts w:hint="eastAsia"/>
                <w:color w:val="auto"/>
                <w:highlight w:val="none"/>
              </w:rPr>
              <w:t>向市城乡建委完成入渝信息报送，并提供网页信息截图加盖竞选人单位公章，否则，当场退还其竞选文件；</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5.核验比选保证金缴纳情况及投标保函的原件，未按</w:t>
            </w:r>
            <w:r>
              <w:rPr>
                <w:rFonts w:hint="eastAsia" w:ascii="宋体" w:hAnsi="宋体" w:cs="宋体"/>
                <w:snapToGrid w:val="0"/>
                <w:color w:val="auto"/>
                <w:szCs w:val="21"/>
                <w:highlight w:val="none"/>
              </w:rPr>
              <w:t>照竞争性比选文件第3.4.1款缴纳比选保证金或开具比选保函的，当场退还其竞选文件。</w:t>
            </w:r>
          </w:p>
          <w:p>
            <w:pPr>
              <w:snapToGrid w:val="0"/>
              <w:spacing w:line="360" w:lineRule="auto"/>
              <w:ind w:left="44" w:leftChars="21" w:firstLine="420" w:firstLineChars="200"/>
              <w:rPr>
                <w:rFonts w:ascii="宋体" w:hAnsi="宋体" w:cs="宋体"/>
                <w:snapToGrid w:val="0"/>
                <w:color w:val="auto"/>
                <w:kern w:val="0"/>
                <w:szCs w:val="21"/>
                <w:highlight w:val="none"/>
              </w:rPr>
            </w:pPr>
            <w:r>
              <w:rPr>
                <w:rFonts w:hint="eastAsia" w:ascii="宋体" w:hAnsi="宋体" w:cs="宋体"/>
                <w:color w:val="auto"/>
                <w:szCs w:val="21"/>
                <w:highlight w:val="none"/>
              </w:rPr>
              <w:t>6. 密封情况检查：</w:t>
            </w:r>
            <w:r>
              <w:rPr>
                <w:rFonts w:hint="eastAsia" w:ascii="宋体" w:hAnsi="宋体" w:cs="宋体"/>
                <w:snapToGrid w:val="0"/>
                <w:color w:val="auto"/>
                <w:kern w:val="0"/>
                <w:szCs w:val="21"/>
                <w:highlight w:val="none"/>
              </w:rPr>
              <w:t>竞选人或者其推选的代表检查竞选文件的密封情况。</w:t>
            </w:r>
          </w:p>
          <w:p>
            <w:pPr>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7. 公布最高限价；</w:t>
            </w:r>
          </w:p>
          <w:p>
            <w:pPr>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8. 开启竞选文件顺序：随机开启；</w:t>
            </w:r>
          </w:p>
          <w:p>
            <w:pPr>
              <w:snapToGrid w:val="0"/>
              <w:spacing w:line="360" w:lineRule="auto"/>
              <w:ind w:left="44" w:leftChars="21"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 </w:t>
            </w:r>
            <w:r>
              <w:rPr>
                <w:rFonts w:hint="eastAsia" w:ascii="宋体" w:hAnsi="宋体" w:cs="宋体"/>
                <w:color w:val="auto"/>
                <w:kern w:val="0"/>
                <w:szCs w:val="21"/>
                <w:highlight w:val="none"/>
              </w:rPr>
              <w:t>按照宣布的开标顺序当众开标，开启资格审查资料袋、投标文件大袋及投标函部分袋及商务部分袋，公布竞选人名称、竞选总报价、质量目标、工期及其他内容，并记录在案</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 竞选人代表、比选人代表、监标人、记录人等有关人员在开标记录上签字确认；</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6.1.1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评标委员会的组建</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20" w:lineRule="exact"/>
              <w:jc w:val="left"/>
              <w:rPr>
                <w:rFonts w:ascii="宋体" w:hAnsi="宋体" w:cs="宋体"/>
                <w:color w:val="auto"/>
                <w:kern w:val="0"/>
                <w:highlight w:val="none"/>
              </w:rPr>
            </w:pPr>
            <w:r>
              <w:rPr>
                <w:rFonts w:hint="eastAsia" w:ascii="宋体" w:hAnsi="宋体" w:cs="宋体"/>
                <w:color w:val="auto"/>
                <w:kern w:val="0"/>
                <w:szCs w:val="21"/>
                <w:highlight w:val="none"/>
              </w:rPr>
              <w:t>1、评选委员会构成：</w:t>
            </w:r>
            <w:r>
              <w:rPr>
                <w:rFonts w:hint="eastAsia" w:ascii="宋体" w:hAnsi="宋体" w:cs="宋体"/>
                <w:color w:val="auto"/>
                <w:kern w:val="0"/>
                <w:highlight w:val="none"/>
              </w:rPr>
              <w:t>3人及3人以上的单数。</w:t>
            </w:r>
          </w:p>
          <w:p>
            <w:pPr>
              <w:autoSpaceDE w:val="0"/>
              <w:autoSpaceDN w:val="0"/>
              <w:adjustRightInd w:val="0"/>
              <w:snapToGrid w:val="0"/>
              <w:spacing w:line="400" w:lineRule="exact"/>
              <w:jc w:val="left"/>
              <w:rPr>
                <w:rFonts w:ascii="宋体" w:hAnsi="宋体" w:cs="宋体"/>
                <w:snapToGrid w:val="0"/>
                <w:color w:val="auto"/>
                <w:szCs w:val="21"/>
                <w:highlight w:val="none"/>
              </w:rPr>
            </w:pPr>
            <w:r>
              <w:rPr>
                <w:rFonts w:hint="eastAsia" w:ascii="宋体" w:hAnsi="宋体" w:cs="宋体"/>
                <w:color w:val="auto"/>
                <w:kern w:val="0"/>
                <w:szCs w:val="21"/>
                <w:highlight w:val="none"/>
              </w:rPr>
              <w:t>2．评选专家确定方式：由比选人</w:t>
            </w:r>
            <w:r>
              <w:rPr>
                <w:rFonts w:hint="eastAsia" w:ascii="宋体" w:hAnsi="宋体" w:cs="宋体"/>
                <w:color w:val="auto"/>
                <w:szCs w:val="21"/>
                <w:highlight w:val="none"/>
              </w:rPr>
              <w:t>按法律法规及相关规定依法组建</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7.1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是否授权评标委员会确定中选人</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105" w:firstLineChars="50"/>
              <w:rPr>
                <w:rFonts w:ascii="宋体" w:hAnsi="宋体" w:cs="宋体"/>
                <w:color w:val="auto"/>
                <w:kern w:val="0"/>
                <w:szCs w:val="21"/>
                <w:highlight w:val="none"/>
              </w:rPr>
            </w:pPr>
            <w:r>
              <w:rPr>
                <w:rFonts w:hint="eastAsia" w:ascii="宋体" w:hAnsi="宋体" w:cs="宋体"/>
                <w:color w:val="auto"/>
                <w:kern w:val="0"/>
                <w:szCs w:val="21"/>
                <w:highlight w:val="none"/>
              </w:rPr>
              <w:t>口是</w:t>
            </w:r>
          </w:p>
          <w:p>
            <w:pPr>
              <w:snapToGrid w:val="0"/>
              <w:spacing w:line="360" w:lineRule="auto"/>
              <w:ind w:left="317" w:leftChars="50" w:hanging="212" w:hangingChars="101"/>
              <w:rPr>
                <w:rFonts w:ascii="宋体" w:hAnsi="宋体" w:cs="宋体"/>
                <w:color w:val="auto"/>
                <w:kern w:val="0"/>
                <w:szCs w:val="21"/>
                <w:highlight w:val="none"/>
              </w:rPr>
            </w:pPr>
            <w:r>
              <w:rPr>
                <w:rFonts w:hint="eastAsia" w:ascii="宋体" w:hAnsi="宋体" w:cs="宋体"/>
                <w:color w:val="auto"/>
                <w:kern w:val="0"/>
                <w:szCs w:val="21"/>
                <w:highlight w:val="none"/>
                <w:bdr w:val="single" w:color="auto" w:sz="4" w:space="0"/>
              </w:rPr>
              <w:t>√</w:t>
            </w:r>
            <w:r>
              <w:rPr>
                <w:rFonts w:hint="eastAsia" w:ascii="宋体" w:hAnsi="宋体" w:cs="宋体"/>
                <w:color w:val="auto"/>
                <w:kern w:val="0"/>
                <w:szCs w:val="21"/>
                <w:highlight w:val="none"/>
              </w:rPr>
              <w:t>否，推荐经评审得分由高到低排名前三名为中选候选人。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7.3.1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履约担保</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履约担保形式：现金+银行保函，其中现金金额为中选合同金额的5%，其余5%为无条件银行保函或现金。</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履约担保金额：中选价的10%。</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提交时间:中选通知书发出后10个工作日内。</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履约担保的退还：工程竣工预验收合格后三十个工作日内无息退还。</w:t>
            </w:r>
          </w:p>
          <w:p>
            <w:pPr>
              <w:autoSpaceDE w:val="0"/>
              <w:autoSpaceDN w:val="0"/>
              <w:adjustRightInd w:val="0"/>
              <w:snapToGrid w:val="0"/>
              <w:spacing w:line="440" w:lineRule="exact"/>
              <w:ind w:firstLine="422" w:firstLineChars="200"/>
              <w:jc w:val="left"/>
              <w:rPr>
                <w:b/>
                <w:bCs/>
                <w:color w:val="auto"/>
                <w:highlight w:val="none"/>
              </w:rPr>
            </w:pPr>
            <w:r>
              <w:rPr>
                <w:rFonts w:hint="eastAsia"/>
                <w:b/>
                <w:bCs/>
                <w:color w:val="auto"/>
                <w:highlight w:val="none"/>
              </w:rPr>
              <w:t>注：1、以现金形式提交的履约保证金，中标人应当从其基本账户转入招标人规定的招标人账户。</w:t>
            </w:r>
          </w:p>
          <w:p>
            <w:pPr>
              <w:numPr>
                <w:ilvl w:val="0"/>
                <w:numId w:val="4"/>
              </w:numPr>
              <w:autoSpaceDE w:val="0"/>
              <w:autoSpaceDN w:val="0"/>
              <w:adjustRightInd w:val="0"/>
              <w:snapToGrid w:val="0"/>
              <w:spacing w:line="440" w:lineRule="exact"/>
              <w:ind w:firstLine="422" w:firstLineChars="200"/>
              <w:jc w:val="left"/>
              <w:rPr>
                <w:b/>
                <w:bCs/>
                <w:color w:val="auto"/>
                <w:highlight w:val="none"/>
              </w:rPr>
            </w:pPr>
            <w:r>
              <w:rPr>
                <w:rFonts w:hint="eastAsia"/>
                <w:b/>
                <w:bCs/>
                <w:color w:val="auto"/>
                <w:highlight w:val="none"/>
              </w:rPr>
              <w:t>若不按时进行缴纳的，招标人有权取消中标人的中标资格，并没收其已缴纳的投标保证金。</w:t>
            </w:r>
          </w:p>
          <w:p>
            <w:pPr>
              <w:numPr>
                <w:ilvl w:val="0"/>
                <w:numId w:val="4"/>
              </w:numPr>
              <w:autoSpaceDE w:val="0"/>
              <w:autoSpaceDN w:val="0"/>
              <w:adjustRightInd w:val="0"/>
              <w:snapToGrid w:val="0"/>
              <w:spacing w:line="440" w:lineRule="exact"/>
              <w:ind w:firstLine="422" w:firstLineChars="200"/>
              <w:jc w:val="left"/>
              <w:rPr>
                <w:color w:val="auto"/>
                <w:highlight w:val="none"/>
              </w:rPr>
            </w:pPr>
            <w:r>
              <w:rPr>
                <w:rFonts w:hint="eastAsia"/>
                <w:b/>
                <w:bCs/>
                <w:color w:val="auto"/>
                <w:highlight w:val="none"/>
              </w:rPr>
              <w:t>中标人对银行保函的真实性和有效性负责，中标人应对查证工作提供方便,并向发包人出具保函开具银行查证的授权声明，若提供虚假银行保函，追究其相关责任并取消其中标资格或解除双方签订的合同，同时没收其投标保证金，构成犯罪的，依法移送司法机关。</w:t>
            </w:r>
          </w:p>
          <w:p>
            <w:pPr>
              <w:numPr>
                <w:ilvl w:val="0"/>
                <w:numId w:val="4"/>
              </w:numPr>
              <w:autoSpaceDE w:val="0"/>
              <w:autoSpaceDN w:val="0"/>
              <w:adjustRightInd w:val="0"/>
              <w:snapToGrid w:val="0"/>
              <w:spacing w:line="440" w:lineRule="exact"/>
              <w:ind w:firstLine="422" w:firstLineChars="200"/>
              <w:jc w:val="left"/>
              <w:rPr>
                <w:color w:val="auto"/>
                <w:highlight w:val="none"/>
              </w:rPr>
            </w:pPr>
            <w:r>
              <w:rPr>
                <w:rFonts w:hint="eastAsia"/>
                <w:b/>
                <w:bCs/>
                <w:color w:val="auto"/>
                <w:highlight w:val="none"/>
              </w:rPr>
              <w:t>若因承包人违约，发包人有权从履约保证金中扣除相应违约金，在履约保证金扣除后，发包人有权要求承包人补足履约保证金，承包人应在发包人要求补足之日起5个工作日内补足。否则，发包人有权直接从应支付给承包人的工程款项中扣除工程款补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10</w:t>
            </w:r>
          </w:p>
        </w:tc>
        <w:tc>
          <w:tcPr>
            <w:tcW w:w="87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317" w:leftChars="50" w:hanging="212" w:hangingChars="101"/>
              <w:rPr>
                <w:rFonts w:ascii="宋体" w:hAnsi="宋体" w:cs="宋体"/>
                <w:color w:val="auto"/>
                <w:kern w:val="0"/>
                <w:szCs w:val="21"/>
                <w:highlight w:val="none"/>
              </w:rPr>
            </w:pPr>
            <w:r>
              <w:rPr>
                <w:rFonts w:hint="eastAsia" w:ascii="宋体" w:hAnsi="宋体" w:cs="宋体"/>
                <w:color w:val="auto"/>
                <w:kern w:val="0"/>
                <w:szCs w:val="21"/>
                <w:highlight w:val="none"/>
              </w:rPr>
              <w:t>工程款支付</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317" w:leftChars="50" w:hanging="212" w:hangingChars="101"/>
              <w:rPr>
                <w:rFonts w:ascii="宋体" w:hAnsi="宋体" w:cs="宋体"/>
                <w:color w:val="auto"/>
                <w:kern w:val="0"/>
                <w:szCs w:val="21"/>
                <w:highlight w:val="none"/>
              </w:rPr>
            </w:pPr>
            <w:r>
              <w:rPr>
                <w:rFonts w:hint="eastAsia" w:ascii="宋体" w:hAnsi="宋体" w:cs="宋体"/>
                <w:color w:val="auto"/>
                <w:kern w:val="0"/>
                <w:szCs w:val="21"/>
                <w:highlight w:val="none"/>
              </w:rPr>
              <w:t>进度款支付方法：</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1.本工程招标人不支付预付款。</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2.本工程4个女卫生间完成施工并预验收合格后支付至合同总额的40%，本工程全部竣工验收合格，支付至合同总额的90%。</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3.承包人提交完整的竣工结算资料，待审计（社会审计或者是国家审计）出具正式审计报告，承包人缴纳审定金额3%的质保金后15个工作日内支付剩余工程款，质保金在质保期满后30日内无息退还。</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4.工程设计变更或工程量增加部分的价款竣工结算后支付。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比选代理服务费</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lang w:val="zh-CN"/>
              </w:rPr>
              <w:t>中选人应</w:t>
            </w:r>
            <w:r>
              <w:rPr>
                <w:rFonts w:hint="eastAsia" w:ascii="宋体" w:hAnsi="宋体" w:cs="宋体"/>
                <w:color w:val="auto"/>
                <w:kern w:val="1"/>
                <w:highlight w:val="none"/>
              </w:rPr>
              <w:t>在领取中标通知书时一次性向招标代理机构交纳招标代理服务费。</w:t>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竞选人中标后向招标代理机构缴纳招标代理服务费，招标代理服务费的收取标准按照以下工程招标标准的70%收取招标代理服务费:</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515"/>
              <w:gridCol w:w="151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459" w:type="pct"/>
                  <w:tcBorders>
                    <w:tl2br w:val="single" w:color="auto" w:sz="4" w:space="0"/>
                  </w:tcBorders>
                  <w:noWrap/>
                </w:tcPr>
                <w:p>
                  <w:pPr>
                    <w:spacing w:line="400" w:lineRule="exact"/>
                    <w:ind w:firstLine="840" w:firstLineChars="400"/>
                    <w:rPr>
                      <w:rFonts w:ascii="宋体" w:hAnsi="宋体" w:cs="宋体"/>
                      <w:color w:val="auto"/>
                      <w:kern w:val="1"/>
                      <w:highlight w:val="none"/>
                    </w:rPr>
                  </w:pPr>
                  <w:r>
                    <w:rPr>
                      <w:rFonts w:ascii="宋体" w:hAnsi="宋体" w:cs="宋体"/>
                      <w:color w:val="auto"/>
                      <w:kern w:val="1"/>
                      <w:highlight w:val="none"/>
                    </w:rPr>
                    <w:pict>
                      <v:line id="_x0000_s1026" o:spid="_x0000_s1026" o:spt="20" style="position:absolute;left:0pt;margin-left:-9pt;margin-top:-0.5pt;height:0.05pt;width:0.05pt;z-index:251659264;mso-width-relative:page;mso-height-relative:page;"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fPvmD1gAAAAgBAAAPAAAAAAAAAAEAIAAAACIAAABkcnMv&#10;ZG93bnJldi54bWxQSwECFAAUAAAACACHTuJA/PB4Y8wBAABsAwAADgAAAAAAAAABACAAAAAlAQAA&#10;ZHJzL2Uyb0RvYy54bWxQSwUGAAAAAAYABgBZAQAAYwUAAAAA&#10;">
                        <v:path arrowok="t"/>
                        <v:fill focussize="0,0"/>
                        <v:stroke/>
                        <v:imagedata o:title=""/>
                        <o:lock v:ext="edit"/>
                      </v:line>
                    </w:pict>
                  </w:r>
                  <w:r>
                    <w:rPr>
                      <w:rFonts w:hint="eastAsia" w:ascii="宋体" w:hAnsi="宋体" w:cs="宋体"/>
                      <w:color w:val="auto"/>
                      <w:kern w:val="1"/>
                      <w:highlight w:val="none"/>
                    </w:rPr>
                    <w:t>招标类型</w:t>
                  </w:r>
                </w:p>
                <w:p>
                  <w:pPr>
                    <w:spacing w:line="400" w:lineRule="exact"/>
                    <w:rPr>
                      <w:rFonts w:ascii="宋体" w:hAnsi="宋体" w:cs="宋体"/>
                      <w:color w:val="auto"/>
                      <w:kern w:val="1"/>
                      <w:highlight w:val="none"/>
                    </w:rPr>
                  </w:pPr>
                  <w:r>
                    <w:rPr>
                      <w:rFonts w:hint="eastAsia" w:ascii="宋体" w:hAnsi="宋体" w:cs="宋体"/>
                      <w:color w:val="auto"/>
                      <w:kern w:val="1"/>
                      <w:highlight w:val="none"/>
                    </w:rPr>
                    <w:t>中标金额（万元）</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货物招标</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服务招标</w:t>
                  </w:r>
                </w:p>
              </w:tc>
              <w:tc>
                <w:tcPr>
                  <w:tcW w:w="117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100以下</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1.5%</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1.5%</w:t>
                  </w:r>
                </w:p>
              </w:tc>
              <w:tc>
                <w:tcPr>
                  <w:tcW w:w="117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100-500</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1.1%</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0.8%</w:t>
                  </w:r>
                </w:p>
              </w:tc>
              <w:tc>
                <w:tcPr>
                  <w:tcW w:w="117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500-1000</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0.8%</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0.45%</w:t>
                  </w:r>
                </w:p>
              </w:tc>
              <w:tc>
                <w:tcPr>
                  <w:tcW w:w="117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1000-5000</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0.5%</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0.25%</w:t>
                  </w:r>
                </w:p>
              </w:tc>
              <w:tc>
                <w:tcPr>
                  <w:tcW w:w="117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5000-10000</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0.25%</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0.1%</w:t>
                  </w:r>
                </w:p>
              </w:tc>
              <w:tc>
                <w:tcPr>
                  <w:tcW w:w="117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10000-100000</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0.05%</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0.05%</w:t>
                  </w:r>
                </w:p>
              </w:tc>
              <w:tc>
                <w:tcPr>
                  <w:tcW w:w="117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1000000以上</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0.01%</w:t>
                  </w:r>
                </w:p>
              </w:tc>
              <w:tc>
                <w:tcPr>
                  <w:tcW w:w="1180"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0.01%</w:t>
                  </w:r>
                </w:p>
              </w:tc>
              <w:tc>
                <w:tcPr>
                  <w:tcW w:w="1179" w:type="pct"/>
                  <w:noWrap/>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0.01%</w:t>
                  </w:r>
                </w:p>
              </w:tc>
            </w:tr>
          </w:tbl>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注：招标代理服务收费按差额定率累进法计算。例如：本项目招标代理业务中标金额为300万元，计算招标代理服务费如下：</w:t>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100万元×1%=1万元</w:t>
            </w:r>
            <w:r>
              <w:rPr>
                <w:rFonts w:hint="eastAsia" w:ascii="宋体" w:hAnsi="宋体" w:cs="宋体"/>
                <w:color w:val="auto"/>
                <w:kern w:val="1"/>
                <w:highlight w:val="none"/>
              </w:rPr>
              <w:tab/>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（300-100）万元×0.7%=1.4万元</w:t>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合计收费=1+1.4=2.4（万元）</w:t>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最终收费：2.4*70%＝1.68（万元）</w:t>
            </w:r>
          </w:p>
          <w:p>
            <w:pPr>
              <w:autoSpaceDE w:val="0"/>
              <w:autoSpaceDN w:val="0"/>
              <w:adjustRightInd w:val="0"/>
              <w:snapToGrid w:val="0"/>
              <w:spacing w:line="440" w:lineRule="exact"/>
              <w:ind w:firstLine="420" w:firstLineChars="200"/>
              <w:jc w:val="left"/>
              <w:rPr>
                <w:rFonts w:hint="eastAsia" w:ascii="宋体" w:hAnsi="宋体" w:cs="宋体"/>
                <w:snapToGrid w:val="0"/>
                <w:color w:val="auto"/>
                <w:szCs w:val="21"/>
                <w:highlight w:val="none"/>
                <w:lang w:eastAsia="zh-CN"/>
              </w:rPr>
            </w:pPr>
          </w:p>
          <w:p>
            <w:pPr>
              <w:autoSpaceDE w:val="0"/>
              <w:autoSpaceDN w:val="0"/>
              <w:adjustRightInd w:val="0"/>
              <w:snapToGrid w:val="0"/>
              <w:spacing w:line="440" w:lineRule="exact"/>
              <w:ind w:firstLine="420" w:firstLineChars="200"/>
              <w:jc w:val="left"/>
              <w:rPr>
                <w:rFonts w:ascii="宋体" w:hAnsi="宋体" w:cs="宋体"/>
                <w:snapToGrid w:val="0"/>
                <w:color w:val="auto"/>
                <w:szCs w:val="21"/>
                <w:highlight w:val="none"/>
              </w:rPr>
            </w:pPr>
            <w:r>
              <w:rPr>
                <w:rFonts w:hint="eastAsia" w:ascii="宋体" w:hAnsi="宋体" w:cs="宋体"/>
                <w:snapToGrid w:val="0"/>
                <w:color w:val="auto"/>
                <w:szCs w:val="21"/>
                <w:highlight w:val="none"/>
                <w:lang w:eastAsia="zh-CN"/>
              </w:rPr>
              <w:t>招标代理服务费一次性</w:t>
            </w:r>
            <w:r>
              <w:rPr>
                <w:rFonts w:hint="eastAsia" w:ascii="宋体" w:hAnsi="宋体" w:cs="宋体"/>
                <w:snapToGrid w:val="0"/>
                <w:color w:val="auto"/>
                <w:szCs w:val="21"/>
                <w:highlight w:val="none"/>
              </w:rPr>
              <w:t>汇入以下账号：</w:t>
            </w:r>
          </w:p>
          <w:p>
            <w:pPr>
              <w:autoSpaceDE w:val="0"/>
              <w:autoSpaceDN w:val="0"/>
              <w:adjustRightInd w:val="0"/>
              <w:snapToGrid w:val="0"/>
              <w:spacing w:line="440" w:lineRule="exact"/>
              <w:ind w:firstLine="420" w:firstLineChars="20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开户单位：新华招标有限公司重庆分公司</w:t>
            </w:r>
          </w:p>
          <w:p>
            <w:pPr>
              <w:autoSpaceDE w:val="0"/>
              <w:autoSpaceDN w:val="0"/>
              <w:adjustRightInd w:val="0"/>
              <w:snapToGrid w:val="0"/>
              <w:spacing w:line="440" w:lineRule="exact"/>
              <w:ind w:firstLine="420" w:firstLineChars="20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开户行名称：中国工商银行重庆两江分行</w:t>
            </w:r>
            <w:bookmarkStart w:id="1012" w:name="_GoBack"/>
            <w:bookmarkEnd w:id="1012"/>
          </w:p>
          <w:p>
            <w:pPr>
              <w:autoSpaceDE w:val="0"/>
              <w:autoSpaceDN w:val="0"/>
              <w:adjustRightInd w:val="0"/>
              <w:snapToGrid w:val="0"/>
              <w:spacing w:line="440" w:lineRule="exact"/>
              <w:ind w:firstLine="420" w:firstLineChars="20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账   号：3100 0202 1920 0246 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结算原则</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结算总价＝分部分项工程量清单结算价+措施费+分部分项工程量清单新增或变更等引起的增（减）子项结算价+其他项目清单结算金额+安全文明施工费+规费+税金+合同约定其它费用。</w:t>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各部分的结算原则如下：</w:t>
            </w:r>
          </w:p>
          <w:p>
            <w:pPr>
              <w:spacing w:line="420" w:lineRule="exact"/>
              <w:ind w:firstLine="367" w:firstLineChars="175"/>
              <w:rPr>
                <w:rFonts w:ascii="宋体" w:hAnsi="宋体" w:cs="宋体"/>
                <w:color w:val="auto"/>
                <w:kern w:val="0"/>
                <w:szCs w:val="21"/>
                <w:highlight w:val="none"/>
              </w:rPr>
            </w:pPr>
            <w:r>
              <w:rPr>
                <w:rFonts w:hint="eastAsia" w:ascii="宋体" w:hAnsi="宋体" w:cs="宋体"/>
                <w:color w:val="auto"/>
                <w:kern w:val="0"/>
                <w:szCs w:val="21"/>
                <w:highlight w:val="none"/>
              </w:rPr>
              <w:t>1、分部分项工程量清单结算价：</w:t>
            </w:r>
          </w:p>
          <w:p>
            <w:pPr>
              <w:tabs>
                <w:tab w:val="left" w:pos="1050"/>
              </w:tabs>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以合同中的分部分项工程量清单中子项综合单价×结算工程量。</w:t>
            </w:r>
          </w:p>
          <w:p>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①结算工程量：按</w:t>
            </w:r>
            <w:r>
              <w:rPr>
                <w:rFonts w:hint="eastAsia" w:ascii="宋体" w:hAnsi="宋体" w:cs="宋体"/>
                <w:color w:val="auto"/>
                <w:szCs w:val="21"/>
                <w:highlight w:val="none"/>
              </w:rPr>
              <w:t>《房屋建筑与装饰工程工程量计算规范》（GB50854-2013）、《通用安装工程工程量计算规范》（GB50856-2013）、《重庆市建设工程工程量计算规则》（CQJLGZ-2013）</w:t>
            </w:r>
            <w:r>
              <w:rPr>
                <w:rFonts w:hint="eastAsia" w:ascii="宋体" w:hAnsi="宋体" w:cs="宋体"/>
                <w:color w:val="auto"/>
                <w:kern w:val="0"/>
                <w:szCs w:val="21"/>
                <w:highlight w:val="none"/>
              </w:rPr>
              <w:t>规定的计量方法按实计量。</w:t>
            </w:r>
          </w:p>
          <w:p>
            <w:pPr>
              <w:tabs>
                <w:tab w:val="left" w:pos="1050"/>
              </w:tabs>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②子项综合单价以承包人竞选报价时的分部分项工程量清单中子项综合单价为结算依据。</w:t>
            </w:r>
          </w:p>
          <w:p>
            <w:pPr>
              <w:numPr>
                <w:ilvl w:val="0"/>
                <w:numId w:val="5"/>
              </w:numPr>
              <w:spacing w:line="440" w:lineRule="exact"/>
              <w:ind w:firstLine="420" w:firstLineChars="200"/>
              <w:rPr>
                <w:rFonts w:ascii="宋体" w:hAnsi="宋体" w:cs="宋体"/>
                <w:color w:val="auto"/>
                <w:kern w:val="0"/>
                <w:szCs w:val="21"/>
                <w:highlight w:val="none"/>
              </w:rPr>
            </w:pPr>
            <w:r>
              <w:rPr>
                <w:rFonts w:hint="eastAsia" w:ascii="宋体" w:hAnsi="宋体" w:cs="宋体"/>
                <w:caps/>
                <w:color w:val="auto"/>
                <w:kern w:val="0"/>
                <w:szCs w:val="21"/>
                <w:highlight w:val="none"/>
              </w:rPr>
              <w:t>措施费：</w:t>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0"/>
                <w:szCs w:val="21"/>
                <w:highlight w:val="none"/>
              </w:rPr>
              <w:t>①</w:t>
            </w:r>
            <w:r>
              <w:rPr>
                <w:rFonts w:hint="eastAsia" w:ascii="宋体" w:hAnsi="宋体" w:cs="宋体"/>
                <w:color w:val="auto"/>
                <w:kern w:val="1"/>
                <w:highlight w:val="none"/>
              </w:rPr>
              <w:t>施工组织措施项目费：以承包人竞选报价时的施工组织措施项目清单报价包干使用。</w:t>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0"/>
                <w:szCs w:val="21"/>
                <w:highlight w:val="none"/>
              </w:rPr>
              <w:t>②</w:t>
            </w:r>
            <w:r>
              <w:rPr>
                <w:rFonts w:hint="eastAsia" w:ascii="宋体" w:hAnsi="宋体" w:cs="宋体"/>
                <w:color w:val="auto"/>
                <w:kern w:val="1"/>
                <w:highlight w:val="none"/>
              </w:rPr>
              <w:t>施工技术措施项目费：</w:t>
            </w:r>
          </w:p>
          <w:p>
            <w:pPr>
              <w:spacing w:line="400" w:lineRule="exact"/>
              <w:ind w:firstLine="420" w:firstLineChars="200"/>
              <w:rPr>
                <w:rFonts w:ascii="宋体" w:hAnsi="宋体" w:cs="宋体"/>
                <w:color w:val="auto"/>
                <w:kern w:val="1"/>
                <w:highlight w:val="none"/>
              </w:rPr>
            </w:pPr>
            <w:r>
              <w:rPr>
                <w:rFonts w:hint="eastAsia" w:ascii="宋体" w:hAnsi="宋体" w:cs="宋体"/>
                <w:color w:val="auto"/>
                <w:kern w:val="1"/>
                <w:highlight w:val="none"/>
              </w:rPr>
              <w:t>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pPr>
              <w:spacing w:line="400" w:lineRule="exact"/>
              <w:ind w:firstLine="420" w:firstLineChars="200"/>
              <w:rPr>
                <w:rFonts w:ascii="宋体" w:hAnsi="宋体" w:cs="宋体"/>
                <w:caps/>
                <w:color w:val="auto"/>
                <w:kern w:val="0"/>
                <w:szCs w:val="21"/>
                <w:highlight w:val="none"/>
              </w:rPr>
            </w:pPr>
            <w:r>
              <w:rPr>
                <w:rFonts w:hint="eastAsia" w:ascii="宋体" w:hAnsi="宋体" w:cs="宋体"/>
                <w:caps/>
                <w:color w:val="auto"/>
                <w:kern w:val="0"/>
                <w:szCs w:val="21"/>
                <w:highlight w:val="none"/>
              </w:rPr>
              <w:t>3、设计变更及调整、施工过程中出现新增项目（含比选范围以外的项目）价款结算办法：</w:t>
            </w:r>
          </w:p>
          <w:p>
            <w:pPr>
              <w:spacing w:line="400" w:lineRule="exact"/>
              <w:ind w:firstLine="420" w:firstLineChars="200"/>
              <w:rPr>
                <w:rFonts w:ascii="宋体" w:hAnsi="宋体" w:cs="宋体"/>
                <w:caps/>
                <w:color w:val="auto"/>
                <w:kern w:val="0"/>
                <w:szCs w:val="21"/>
                <w:highlight w:val="none"/>
              </w:rPr>
            </w:pPr>
            <w:r>
              <w:rPr>
                <w:rFonts w:hint="eastAsia" w:ascii="宋体" w:hAnsi="宋体" w:cs="宋体"/>
                <w:caps/>
                <w:color w:val="auto"/>
                <w:kern w:val="0"/>
                <w:szCs w:val="21"/>
                <w:highlight w:val="none"/>
              </w:rPr>
              <w:t>①变更（包括签证）工程与报价的工程量清单中有相同的子项，则按报价时的相同子项的综合单价报价执行；</w:t>
            </w:r>
          </w:p>
          <w:p>
            <w:pPr>
              <w:spacing w:line="400" w:lineRule="exact"/>
              <w:ind w:firstLine="420" w:firstLineChars="200"/>
              <w:rPr>
                <w:rFonts w:ascii="宋体" w:hAnsi="宋体" w:cs="宋体"/>
                <w:caps/>
                <w:color w:val="auto"/>
                <w:kern w:val="0"/>
                <w:szCs w:val="21"/>
                <w:highlight w:val="none"/>
              </w:rPr>
            </w:pPr>
            <w:r>
              <w:rPr>
                <w:rFonts w:hint="eastAsia" w:ascii="宋体" w:hAnsi="宋体" w:cs="宋体"/>
                <w:caps/>
                <w:color w:val="auto"/>
                <w:kern w:val="0"/>
                <w:szCs w:val="21"/>
                <w:highlight w:val="none"/>
              </w:rPr>
              <w:t>②变更（包括签证）工程与报价的工程量清单中有类似子项的，</w:t>
            </w:r>
            <w:r>
              <w:rPr>
                <w:rFonts w:hint="eastAsia" w:ascii="宋体" w:hAnsi="宋体" w:cs="宋体"/>
                <w:color w:val="auto"/>
                <w:kern w:val="0"/>
                <w:szCs w:val="21"/>
                <w:highlight w:val="none"/>
              </w:rPr>
              <w:t>可在合理范围内参照类似子目的综合单价，对该子目主材的价格进行调整主材调整原则：发包人充分结合建筑市场行情核质核价，最终以</w:t>
            </w:r>
            <w:r>
              <w:rPr>
                <w:rFonts w:hint="eastAsia"/>
                <w:color w:val="auto"/>
                <w:highlight w:val="none"/>
              </w:rPr>
              <w:t>发包人、承包人双方核价为准</w:t>
            </w:r>
            <w:r>
              <w:rPr>
                <w:rFonts w:hint="eastAsia" w:ascii="宋体" w:hAnsi="宋体" w:cs="宋体"/>
                <w:color w:val="auto"/>
                <w:kern w:val="0"/>
                <w:szCs w:val="21"/>
                <w:highlight w:val="none"/>
              </w:rPr>
              <w:t>。调整后的综合单价作为类似子目的综合单价（类似项目由发包人确定，竞选的人工、主材单价表作为合同附件）。</w:t>
            </w:r>
          </w:p>
          <w:p>
            <w:pPr>
              <w:spacing w:line="440" w:lineRule="exact"/>
              <w:ind w:firstLine="367" w:firstLineChars="175"/>
              <w:rPr>
                <w:rFonts w:ascii="宋体" w:hAnsi="宋体" w:cs="宋体"/>
                <w:caps/>
                <w:color w:val="auto"/>
                <w:kern w:val="0"/>
                <w:szCs w:val="21"/>
                <w:highlight w:val="none"/>
              </w:rPr>
            </w:pPr>
            <w:r>
              <w:rPr>
                <w:rFonts w:hint="eastAsia" w:ascii="宋体" w:hAnsi="宋体" w:cs="宋体"/>
                <w:color w:val="auto"/>
                <w:kern w:val="0"/>
                <w:szCs w:val="21"/>
                <w:highlight w:val="none"/>
              </w:rPr>
              <w:t>③</w:t>
            </w:r>
            <w:r>
              <w:rPr>
                <w:rFonts w:hint="eastAsia" w:ascii="宋体" w:hAnsi="宋体" w:cs="宋体"/>
                <w:caps/>
                <w:color w:val="auto"/>
                <w:kern w:val="0"/>
                <w:szCs w:val="21"/>
                <w:highlight w:val="none"/>
              </w:rPr>
              <w:t>变更（包括签证）工程与工程量清单中无相同子项或类似子项的，则按</w:t>
            </w:r>
            <w:r>
              <w:rPr>
                <w:rFonts w:hint="eastAsia" w:ascii="宋体" w:hAnsi="宋体" w:cs="宋体"/>
                <w:color w:val="auto"/>
                <w:kern w:val="0"/>
                <w:szCs w:val="21"/>
                <w:highlight w:val="none"/>
              </w:rPr>
              <w:t>《建设工程工程量清单计价规范》（GB50500-2013）、</w:t>
            </w:r>
            <w:r>
              <w:rPr>
                <w:rFonts w:hint="eastAsia" w:ascii="宋体" w:hAnsi="宋体" w:cs="宋体"/>
                <w:color w:val="auto"/>
                <w:szCs w:val="21"/>
                <w:highlight w:val="none"/>
              </w:rPr>
              <w:t>《房屋建筑与装饰工程工程量计算规范》（GB50854-2013）、《通用安装工程工程量计算规范》（GB50856-2013）</w:t>
            </w:r>
            <w:r>
              <w:rPr>
                <w:rFonts w:hint="eastAsia" w:ascii="宋体" w:hAnsi="宋体" w:cs="宋体"/>
                <w:color w:val="auto"/>
                <w:kern w:val="0"/>
                <w:szCs w:val="21"/>
                <w:highlight w:val="none"/>
              </w:rPr>
              <w:t>《重庆市建设工程工程量清单计价规则》（CQJJGZ-2013）、《重庆市建设工程工程量计算规则》（CQJLGZ-2013）、《重庆市房屋建筑与装饰工程计价定额》（CQJZZSDE-2018）、《重庆市通用安装工程计价定额》（CQAZDE-2018）、</w:t>
            </w:r>
            <w:r>
              <w:rPr>
                <w:rFonts w:hint="eastAsia" w:ascii="宋体" w:hAnsi="宋体" w:cs="宋体"/>
                <w:color w:val="auto"/>
                <w:szCs w:val="21"/>
                <w:highlight w:val="none"/>
              </w:rPr>
              <w:t>《重庆市房屋修缮工程计价定额》（CQXSDE-2018）</w:t>
            </w:r>
            <w:r>
              <w:rPr>
                <w:rFonts w:hint="eastAsia" w:ascii="宋体" w:hAnsi="宋体" w:cs="宋体"/>
                <w:color w:val="auto"/>
                <w:kern w:val="0"/>
                <w:szCs w:val="21"/>
                <w:highlight w:val="none"/>
              </w:rPr>
              <w:t>、《重庆市建设工程施工机械台班定额》（CQJXDE-2018）、《重庆市建设工程施工仪器仪表台班定额》（CQYQYBDE-2018）、《重庆市建设工程混凝土及砂浆配合比表》（CQPHBB-2018）、《重庆市建设工程费用定额》（CQFYDE-2018）</w:t>
            </w:r>
            <w:r>
              <w:rPr>
                <w:rFonts w:hint="eastAsia" w:ascii="宋体" w:hAnsi="宋体" w:cs="宋体"/>
                <w:caps/>
                <w:color w:val="auto"/>
                <w:kern w:val="0"/>
                <w:szCs w:val="21"/>
                <w:highlight w:val="none"/>
              </w:rPr>
              <w:t>及其相关配套文件的规定进行组价（其中材料及人工费合同价中有的按合同价计算，合同价</w:t>
            </w:r>
            <w:r>
              <w:rPr>
                <w:rFonts w:hint="eastAsia" w:ascii="宋体" w:hAnsi="宋体" w:cs="宋体"/>
                <w:caps/>
                <w:color w:val="auto"/>
                <w:kern w:val="0"/>
                <w:szCs w:val="21"/>
                <w:highlight w:val="none"/>
                <w:lang w:eastAsia="zh-CN"/>
              </w:rPr>
              <w:t>或施工当月重庆市建设工程信息价</w:t>
            </w:r>
            <w:r>
              <w:rPr>
                <w:rFonts w:hint="eastAsia" w:ascii="宋体" w:hAnsi="宋体" w:cs="宋体"/>
                <w:caps/>
                <w:color w:val="auto"/>
                <w:kern w:val="0"/>
                <w:szCs w:val="21"/>
                <w:highlight w:val="none"/>
              </w:rPr>
              <w:t>中没有的材料价格由</w:t>
            </w:r>
            <w:r>
              <w:rPr>
                <w:rFonts w:hint="eastAsia" w:ascii="宋体" w:hAnsi="宋体" w:cs="宋体"/>
                <w:color w:val="auto"/>
                <w:kern w:val="0"/>
                <w:szCs w:val="21"/>
                <w:highlight w:val="none"/>
              </w:rPr>
              <w:t>发包人充分结合建筑市场行情核质核价，最终以</w:t>
            </w:r>
            <w:r>
              <w:rPr>
                <w:rFonts w:hint="eastAsia"/>
                <w:color w:val="auto"/>
                <w:highlight w:val="none"/>
              </w:rPr>
              <w:t>发包人核价为准）</w:t>
            </w:r>
            <w:r>
              <w:rPr>
                <w:rFonts w:hint="eastAsia"/>
                <w:color w:val="auto"/>
                <w:highlight w:val="none"/>
                <w:lang w:eastAsia="zh-CN"/>
              </w:rPr>
              <w:t>，</w:t>
            </w:r>
            <w:r>
              <w:rPr>
                <w:rFonts w:hint="eastAsia" w:ascii="宋体" w:hAnsi="宋体" w:cs="宋体"/>
                <w:color w:val="auto"/>
                <w:szCs w:val="21"/>
                <w:highlight w:val="none"/>
              </w:rPr>
              <w:t>组价后按</w:t>
            </w:r>
            <w:r>
              <w:rPr>
                <w:rFonts w:hint="eastAsia" w:ascii="宋体" w:hAnsi="宋体" w:cs="宋体"/>
                <w:color w:val="auto"/>
                <w:szCs w:val="21"/>
                <w:highlight w:val="none"/>
                <w:lang w:eastAsia="zh-CN"/>
              </w:rPr>
              <w:t>中标价除以招标控制价同比例</w:t>
            </w:r>
            <w:r>
              <w:rPr>
                <w:rFonts w:hint="eastAsia" w:ascii="宋体" w:hAnsi="宋体" w:cs="宋体"/>
                <w:color w:val="auto"/>
                <w:szCs w:val="21"/>
                <w:highlight w:val="none"/>
              </w:rPr>
              <w:t>下浮</w:t>
            </w:r>
            <w:r>
              <w:rPr>
                <w:rFonts w:hint="eastAsia" w:ascii="宋体" w:hAnsi="宋体" w:cs="宋体"/>
                <w:color w:val="auto"/>
                <w:szCs w:val="21"/>
                <w:highlight w:val="none"/>
                <w:lang w:eastAsia="zh-CN"/>
              </w:rPr>
              <w:t>后单独</w:t>
            </w:r>
            <w:r>
              <w:rPr>
                <w:rFonts w:hint="eastAsia" w:ascii="宋体" w:hAnsi="宋体" w:cs="宋体"/>
                <w:color w:val="auto"/>
                <w:szCs w:val="21"/>
                <w:highlight w:val="none"/>
              </w:rPr>
              <w:t>结算</w:t>
            </w:r>
            <w:r>
              <w:rPr>
                <w:rFonts w:hint="eastAsia" w:ascii="宋体" w:hAnsi="宋体" w:cs="宋体"/>
                <w:caps/>
                <w:color w:val="auto"/>
                <w:kern w:val="0"/>
                <w:szCs w:val="21"/>
                <w:highlight w:val="none"/>
              </w:rPr>
              <w:t>（按实计算费用、</w:t>
            </w:r>
            <w:r>
              <w:rPr>
                <w:rFonts w:hint="eastAsia" w:ascii="宋体" w:hAnsi="宋体" w:cs="宋体"/>
                <w:color w:val="auto"/>
                <w:szCs w:val="21"/>
                <w:highlight w:val="none"/>
              </w:rPr>
              <w:t>未计价材料</w:t>
            </w:r>
            <w:r>
              <w:rPr>
                <w:rFonts w:hint="eastAsia" w:ascii="宋体" w:hAnsi="宋体" w:cs="宋体"/>
                <w:color w:val="auto"/>
                <w:szCs w:val="21"/>
                <w:highlight w:val="none"/>
                <w:lang w:eastAsia="zh-CN"/>
              </w:rPr>
              <w:t>、</w:t>
            </w:r>
            <w:r>
              <w:rPr>
                <w:rFonts w:hint="eastAsia" w:ascii="宋体" w:hAnsi="宋体" w:cs="宋体"/>
                <w:caps/>
                <w:color w:val="auto"/>
                <w:kern w:val="0"/>
                <w:szCs w:val="21"/>
                <w:highlight w:val="none"/>
              </w:rPr>
              <w:t>核价材料、材料价差、人工价差、安全文明施工费、规费、税金不下浮）</w:t>
            </w:r>
          </w:p>
          <w:p>
            <w:pPr>
              <w:spacing w:line="420" w:lineRule="exact"/>
              <w:ind w:firstLine="367" w:firstLineChars="175"/>
              <w:rPr>
                <w:rFonts w:ascii="宋体" w:hAnsi="宋体" w:cs="宋体"/>
                <w:caps/>
                <w:color w:val="auto"/>
                <w:kern w:val="0"/>
                <w:szCs w:val="21"/>
                <w:highlight w:val="none"/>
              </w:rPr>
            </w:pPr>
            <w:r>
              <w:rPr>
                <w:rFonts w:hint="eastAsia" w:ascii="宋体" w:hAnsi="宋体" w:cs="宋体"/>
                <w:caps/>
                <w:color w:val="auto"/>
                <w:kern w:val="0"/>
                <w:szCs w:val="21"/>
                <w:highlight w:val="none"/>
              </w:rPr>
              <w:t>④变更工程量按</w:t>
            </w:r>
            <w:r>
              <w:rPr>
                <w:rFonts w:hint="eastAsia" w:ascii="宋体" w:hAnsi="宋体" w:cs="宋体"/>
                <w:color w:val="auto"/>
                <w:szCs w:val="21"/>
                <w:highlight w:val="none"/>
              </w:rPr>
              <w:t>《房屋建筑与装饰工程工程量计算规范》（GB50854-2013）、《通用安装工程工程量计算规范》（GB50856-2</w:t>
            </w:r>
            <w:r>
              <w:rPr>
                <w:rFonts w:hint="eastAsia" w:ascii="宋体" w:hAnsi="宋体" w:cs="宋体"/>
                <w:color w:val="auto"/>
                <w:kern w:val="0"/>
                <w:szCs w:val="21"/>
                <w:highlight w:val="none"/>
              </w:rPr>
              <w:t>013）、《重庆市建设工程工程量计算规则》（CQJLGZ-2013）</w:t>
            </w:r>
            <w:r>
              <w:rPr>
                <w:rFonts w:hint="eastAsia" w:ascii="宋体" w:hAnsi="宋体" w:cs="宋体"/>
                <w:caps/>
                <w:color w:val="auto"/>
                <w:kern w:val="0"/>
                <w:szCs w:val="21"/>
                <w:highlight w:val="none"/>
              </w:rPr>
              <w:t>的规定的计量规则计算。</w:t>
            </w:r>
          </w:p>
          <w:p>
            <w:pPr>
              <w:spacing w:line="420" w:lineRule="exact"/>
              <w:ind w:left="420" w:leftChars="200"/>
              <w:rPr>
                <w:rFonts w:ascii="宋体" w:hAnsi="宋体" w:cs="宋体"/>
                <w:color w:val="auto"/>
                <w:kern w:val="1"/>
                <w:highlight w:val="none"/>
              </w:rPr>
            </w:pPr>
            <w:r>
              <w:rPr>
                <w:rFonts w:hint="eastAsia" w:ascii="宋体" w:hAnsi="宋体" w:cs="宋体"/>
                <w:color w:val="auto"/>
                <w:kern w:val="1"/>
                <w:highlight w:val="none"/>
              </w:rPr>
              <w:t>4、其他项目清单结算原则：</w:t>
            </w:r>
          </w:p>
          <w:p>
            <w:pPr>
              <w:spacing w:line="420" w:lineRule="exact"/>
              <w:ind w:firstLine="367" w:firstLineChars="175"/>
              <w:rPr>
                <w:rFonts w:ascii="宋体" w:hAnsi="宋体" w:cs="宋体"/>
                <w:caps/>
                <w:color w:val="auto"/>
                <w:kern w:val="0"/>
                <w:szCs w:val="21"/>
                <w:highlight w:val="none"/>
              </w:rPr>
            </w:pPr>
            <w:r>
              <w:rPr>
                <w:rFonts w:hint="eastAsia" w:ascii="宋体" w:hAnsi="宋体" w:cs="宋体"/>
                <w:caps/>
                <w:color w:val="auto"/>
                <w:kern w:val="0"/>
                <w:szCs w:val="21"/>
                <w:highlight w:val="none"/>
              </w:rPr>
              <w:t>本工程采用暂列金额比选的，结算时按设计变更结算原则执行。</w:t>
            </w:r>
          </w:p>
          <w:p>
            <w:pPr>
              <w:tabs>
                <w:tab w:val="left" w:pos="2032"/>
              </w:tabs>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aps/>
                <w:color w:val="auto"/>
                <w:kern w:val="0"/>
                <w:szCs w:val="21"/>
                <w:highlight w:val="none"/>
              </w:rPr>
              <w:t>5、安全文明施工费：按《关于印发&lt;重庆市建设工程安全文明施工费计取及使用管理规定&gt;的通知》（渝建发[2014]25号）</w:t>
            </w:r>
            <w:r>
              <w:rPr>
                <w:rFonts w:hint="eastAsia" w:ascii="宋体" w:hAnsi="宋体" w:cs="宋体"/>
                <w:color w:val="auto"/>
                <w:kern w:val="0"/>
                <w:szCs w:val="21"/>
                <w:highlight w:val="none"/>
              </w:rPr>
              <w:t>和</w:t>
            </w:r>
            <w:r>
              <w:rPr>
                <w:rFonts w:hint="eastAsia" w:ascii="宋体" w:hAnsi="宋体" w:cs="MingLiU"/>
                <w:color w:val="auto"/>
                <w:kern w:val="0"/>
                <w:szCs w:val="21"/>
                <w:highlight w:val="none"/>
              </w:rPr>
              <w:t xml:space="preserve"> 《重庆市建设工程费用定额》（CQFYDE-2018）</w:t>
            </w:r>
            <w:r>
              <w:rPr>
                <w:rFonts w:hint="eastAsia" w:ascii="宋体" w:hAnsi="宋体" w:cs="宋体"/>
                <w:caps/>
                <w:color w:val="auto"/>
                <w:kern w:val="0"/>
                <w:szCs w:val="21"/>
                <w:highlight w:val="none"/>
              </w:rPr>
              <w:t>规定进行结算，安全文明施工综合评定结果为不合格，则不计取。</w:t>
            </w:r>
          </w:p>
          <w:p>
            <w:pPr>
              <w:tabs>
                <w:tab w:val="left" w:pos="2032"/>
              </w:tabs>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6、规费：</w:t>
            </w:r>
            <w:r>
              <w:rPr>
                <w:rFonts w:hint="eastAsia" w:ascii="宋体" w:hAnsi="宋体" w:cs="宋体"/>
                <w:bCs/>
                <w:color w:val="auto"/>
                <w:szCs w:val="21"/>
                <w:highlight w:val="none"/>
              </w:rPr>
              <w:t>按照竞选文件中的</w:t>
            </w:r>
            <w:r>
              <w:rPr>
                <w:rFonts w:ascii="宋体" w:hAnsi="宋体" w:cs="宋体"/>
                <w:bCs/>
                <w:color w:val="auto"/>
                <w:szCs w:val="21"/>
                <w:highlight w:val="none"/>
              </w:rPr>
              <w:t>费率</w:t>
            </w:r>
            <w:r>
              <w:rPr>
                <w:rFonts w:hint="eastAsia" w:ascii="宋体" w:hAnsi="宋体" w:cs="宋体"/>
                <w:bCs/>
                <w:color w:val="auto"/>
                <w:szCs w:val="21"/>
                <w:highlight w:val="none"/>
              </w:rPr>
              <w:t>结算，但</w:t>
            </w:r>
            <w:r>
              <w:rPr>
                <w:rFonts w:ascii="宋体" w:hAnsi="宋体" w:cs="宋体"/>
                <w:bCs/>
                <w:color w:val="auto"/>
                <w:szCs w:val="21"/>
                <w:highlight w:val="none"/>
              </w:rPr>
              <w:t>若</w:t>
            </w:r>
            <w:r>
              <w:rPr>
                <w:rFonts w:hint="eastAsia" w:ascii="宋体" w:hAnsi="宋体" w:cs="宋体"/>
                <w:bCs/>
                <w:color w:val="auto"/>
                <w:szCs w:val="21"/>
                <w:highlight w:val="none"/>
              </w:rPr>
              <w:t>竞选文件中</w:t>
            </w:r>
            <w:r>
              <w:rPr>
                <w:rFonts w:ascii="宋体" w:hAnsi="宋体" w:cs="宋体"/>
                <w:bCs/>
                <w:color w:val="auto"/>
                <w:szCs w:val="21"/>
                <w:highlight w:val="none"/>
              </w:rPr>
              <w:t>的费率高于</w:t>
            </w:r>
            <w:r>
              <w:rPr>
                <w:rFonts w:hint="eastAsia" w:ascii="宋体" w:hAnsi="宋体" w:cs="宋体"/>
                <w:bCs/>
                <w:color w:val="auto"/>
                <w:szCs w:val="21"/>
                <w:highlight w:val="none"/>
              </w:rPr>
              <w:t>《重庆市建设工程费用定额》（CQFYDE-2018）的规定费率，</w:t>
            </w:r>
            <w:r>
              <w:rPr>
                <w:rFonts w:ascii="宋体" w:hAnsi="宋体" w:cs="宋体"/>
                <w:bCs/>
                <w:color w:val="auto"/>
                <w:szCs w:val="21"/>
                <w:highlight w:val="none"/>
              </w:rPr>
              <w:t>则按规定费率</w:t>
            </w:r>
            <w:r>
              <w:rPr>
                <w:rFonts w:hint="eastAsia" w:ascii="宋体" w:hAnsi="宋体" w:cs="宋体"/>
                <w:bCs/>
                <w:color w:val="auto"/>
                <w:szCs w:val="21"/>
                <w:highlight w:val="none"/>
              </w:rPr>
              <w:t>结算。</w:t>
            </w:r>
          </w:p>
          <w:p>
            <w:pPr>
              <w:tabs>
                <w:tab w:val="left" w:pos="2032"/>
              </w:tabs>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1"/>
                <w:highlight w:val="none"/>
              </w:rPr>
              <w:t>税金：</w:t>
            </w:r>
            <w:r>
              <w:rPr>
                <w:rFonts w:hint="eastAsia" w:ascii="宋体" w:hAnsi="宋体" w:cs="宋体"/>
                <w:bCs/>
                <w:color w:val="auto"/>
                <w:szCs w:val="21"/>
                <w:highlight w:val="none"/>
              </w:rPr>
              <w:t>按照《重庆市建设工程费用定额》（CQFYDE-2018）、渝建[2018]195号以及《重庆市住房和城乡建设委员会关于适用增值税新税率调整建设工程计价依据的通知》渝建〔2019〕143号规定费率执行。</w:t>
            </w:r>
          </w:p>
          <w:p>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aps/>
                <w:color w:val="auto"/>
                <w:kern w:val="0"/>
                <w:szCs w:val="21"/>
                <w:highlight w:val="none"/>
              </w:rPr>
              <w:t>合同约定费用：</w:t>
            </w:r>
          </w:p>
          <w:p>
            <w:pPr>
              <w:spacing w:line="420" w:lineRule="exact"/>
              <w:ind w:firstLine="420" w:firstLineChars="200"/>
              <w:rPr>
                <w:rFonts w:ascii="宋体" w:hAnsi="宋体" w:cs="宋体"/>
                <w:caps/>
                <w:color w:val="auto"/>
                <w:kern w:val="0"/>
                <w:szCs w:val="21"/>
                <w:highlight w:val="none"/>
              </w:rPr>
            </w:pPr>
            <w:r>
              <w:rPr>
                <w:rFonts w:hint="eastAsia" w:ascii="宋体" w:hAnsi="宋体" w:cs="宋体"/>
                <w:caps/>
                <w:color w:val="auto"/>
                <w:kern w:val="0"/>
                <w:szCs w:val="21"/>
                <w:highlight w:val="none"/>
              </w:rPr>
              <w:t>（1）发包人要求承包人完成合同以外施工范围内或施工范围外但与本施工项目密切关系的零星项目，承包人应接受发包人施工要求。若发包人委托的施工项目属应急抢险项目，应按发包人要求先行施工，同时编制预算呈报发包人，发包人进行审核。如未经发包人同意，承包人擅自施工后发生争议，由承包人自行负责。</w:t>
            </w:r>
          </w:p>
          <w:p>
            <w:pPr>
              <w:spacing w:line="420" w:lineRule="exact"/>
              <w:ind w:firstLine="420" w:firstLineChars="200"/>
              <w:rPr>
                <w:rFonts w:ascii="宋体" w:hAnsi="宋体" w:cs="宋体"/>
                <w:b/>
                <w:bCs/>
                <w:color w:val="auto"/>
                <w:sz w:val="24"/>
                <w:highlight w:val="none"/>
              </w:rPr>
            </w:pPr>
            <w:r>
              <w:rPr>
                <w:rFonts w:hint="eastAsia" w:ascii="宋体" w:hAnsi="宋体" w:cs="宋体"/>
                <w:caps/>
                <w:color w:val="auto"/>
                <w:kern w:val="0"/>
                <w:szCs w:val="21"/>
                <w:highlight w:val="none"/>
              </w:rPr>
              <w:t>（2）合同其他条款约定的其他费用。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10.4</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回避单位</w:t>
            </w:r>
          </w:p>
        </w:tc>
        <w:tc>
          <w:tcPr>
            <w:tcW w:w="6670" w:type="dxa"/>
            <w:tcBorders>
              <w:top w:val="single" w:color="auto" w:sz="4" w:space="0"/>
              <w:left w:val="single" w:color="auto" w:sz="4" w:space="0"/>
              <w:bottom w:val="single" w:color="auto" w:sz="4" w:space="0"/>
              <w:right w:val="single" w:color="auto" w:sz="4" w:space="0"/>
            </w:tcBorders>
            <w:vAlign w:val="center"/>
          </w:tcPr>
          <w:p>
            <w:pPr>
              <w:tabs>
                <w:tab w:val="left" w:pos="2580"/>
              </w:tabs>
              <w:snapToGrid w:val="0"/>
              <w:spacing w:line="420" w:lineRule="exact"/>
              <w:ind w:right="54" w:firstLine="482"/>
              <w:rPr>
                <w:rFonts w:ascii="宋体" w:hAnsi="宋体" w:cs="宋体"/>
                <w:color w:val="auto"/>
                <w:szCs w:val="21"/>
                <w:highlight w:val="none"/>
              </w:rPr>
            </w:pPr>
            <w:r>
              <w:rPr>
                <w:rFonts w:hint="eastAsia" w:ascii="宋体" w:hAnsi="宋体" w:cs="宋体"/>
                <w:color w:val="auto"/>
                <w:szCs w:val="21"/>
                <w:highlight w:val="none"/>
              </w:rPr>
              <w:t>被列入清欠不良记录尚未取消的以及在招竞标、建筑市场行为、工程质量安全等方面正在接受建设行政主管部门调查处理而尚未结案的企业回避本次竞标。</w:t>
            </w:r>
            <w:r>
              <w:rPr>
                <w:rFonts w:hint="eastAsia" w:ascii="宋体" w:hAnsi="宋体" w:cs="宋体"/>
                <w:color w:val="auto"/>
                <w:szCs w:val="21"/>
                <w:highlight w:val="none"/>
              </w:rPr>
              <w:br w:type="textWrapping"/>
            </w:r>
            <w:r>
              <w:rPr>
                <w:rFonts w:hint="eastAsia" w:ascii="宋体" w:hAnsi="宋体" w:cs="宋体"/>
                <w:color w:val="auto"/>
                <w:szCs w:val="21"/>
                <w:highlight w:val="none"/>
              </w:rPr>
              <w:t>下列企业回避本次竞标：重庆建工集团有限责任公司、重庆建工第十一建筑工程有限责任公司、重庆山海建设（集团）有限公司、重庆冠龙装饰工程有限公司、重庆先华建设（集团）有限公司</w:t>
            </w:r>
          </w:p>
        </w:tc>
      </w:tr>
    </w:tbl>
    <w:p>
      <w:pPr>
        <w:spacing w:line="440" w:lineRule="exact"/>
        <w:outlineLvl w:val="1"/>
        <w:rPr>
          <w:rFonts w:ascii="宋体" w:hAnsi="宋体" w:cs="宋体"/>
          <w:b/>
          <w:color w:val="auto"/>
          <w:szCs w:val="21"/>
          <w:highlight w:val="none"/>
        </w:rPr>
      </w:pPr>
      <w:r>
        <w:rPr>
          <w:rFonts w:hint="eastAsia" w:ascii="宋体" w:hAnsi="宋体" w:cs="宋体"/>
          <w:color w:val="auto"/>
          <w:kern w:val="0"/>
          <w:sz w:val="24"/>
          <w:highlight w:val="none"/>
        </w:rPr>
        <w:br w:type="page"/>
      </w:r>
      <w:bookmarkStart w:id="101" w:name="_Toc14061"/>
      <w:bookmarkStart w:id="102" w:name="_Toc29910"/>
      <w:bookmarkStart w:id="103" w:name="_Toc14677"/>
      <w:bookmarkStart w:id="104" w:name="_Toc3970"/>
      <w:bookmarkStart w:id="105" w:name="_Toc9072"/>
      <w:bookmarkStart w:id="106" w:name="_Toc430205968"/>
      <w:r>
        <w:rPr>
          <w:rFonts w:hint="eastAsia" w:ascii="宋体" w:hAnsi="宋体" w:cs="宋体"/>
          <w:b/>
          <w:color w:val="auto"/>
          <w:szCs w:val="21"/>
          <w:highlight w:val="none"/>
        </w:rPr>
        <w:t>1.  总则</w:t>
      </w:r>
      <w:bookmarkEnd w:id="101"/>
      <w:bookmarkEnd w:id="102"/>
      <w:bookmarkEnd w:id="103"/>
      <w:bookmarkEnd w:id="104"/>
      <w:bookmarkEnd w:id="105"/>
      <w:bookmarkEnd w:id="106"/>
      <w:bookmarkStart w:id="107" w:name="_Hlt466366807"/>
      <w:bookmarkEnd w:id="107"/>
    </w:p>
    <w:p>
      <w:pPr>
        <w:spacing w:line="440" w:lineRule="exact"/>
        <w:outlineLvl w:val="2"/>
        <w:rPr>
          <w:rFonts w:ascii="宋体" w:hAnsi="宋体" w:cs="宋体"/>
          <w:b/>
          <w:color w:val="auto"/>
          <w:szCs w:val="21"/>
          <w:highlight w:val="none"/>
        </w:rPr>
      </w:pPr>
      <w:bookmarkStart w:id="108" w:name="_Toc277082553"/>
      <w:bookmarkStart w:id="109" w:name="_Toc9441"/>
      <w:bookmarkStart w:id="110" w:name="_Toc200513127"/>
      <w:bookmarkStart w:id="111" w:name="_Toc224103318"/>
      <w:bookmarkStart w:id="112" w:name="_Toc287607747"/>
      <w:bookmarkStart w:id="113" w:name="_Toc430205969"/>
      <w:bookmarkStart w:id="114" w:name="_Toc326274487"/>
      <w:r>
        <w:rPr>
          <w:rFonts w:hint="eastAsia" w:ascii="宋体" w:hAnsi="宋体" w:cs="宋体"/>
          <w:b/>
          <w:color w:val="auto"/>
          <w:szCs w:val="21"/>
          <w:highlight w:val="none"/>
        </w:rPr>
        <w:t>1.1  项目概况</w:t>
      </w:r>
      <w:bookmarkEnd w:id="108"/>
      <w:bookmarkEnd w:id="109"/>
      <w:bookmarkEnd w:id="110"/>
      <w:bookmarkEnd w:id="111"/>
      <w:bookmarkEnd w:id="112"/>
      <w:bookmarkEnd w:id="113"/>
      <w:bookmarkEnd w:id="114"/>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  根据有关法律、法规和规章的规定，本项目已具备比选条件，现对本项目进行比选。</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  本项目比选人：见竞选人须知前附表。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本项目代理机构：见竞选人须知前附表。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  本项目名称：见竞选人须知前附表。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1.1.5  本项目建设地点：见竞选人须知前附表。</w:t>
      </w:r>
    </w:p>
    <w:p>
      <w:pPr>
        <w:spacing w:line="440" w:lineRule="exact"/>
        <w:outlineLvl w:val="2"/>
        <w:rPr>
          <w:rFonts w:ascii="宋体" w:hAnsi="宋体" w:cs="宋体"/>
          <w:b/>
          <w:color w:val="auto"/>
          <w:szCs w:val="21"/>
          <w:highlight w:val="none"/>
        </w:rPr>
      </w:pPr>
      <w:bookmarkStart w:id="115" w:name="_Toc277082554"/>
      <w:bookmarkStart w:id="116" w:name="_Toc224103319"/>
      <w:bookmarkStart w:id="117" w:name="_Toc287607748"/>
      <w:bookmarkStart w:id="118" w:name="_Toc326274488"/>
      <w:bookmarkStart w:id="119" w:name="_Toc200513128"/>
      <w:bookmarkStart w:id="120" w:name="_Toc430205970"/>
      <w:bookmarkStart w:id="121" w:name="_Toc27954"/>
      <w:r>
        <w:rPr>
          <w:rFonts w:hint="eastAsia" w:ascii="宋体" w:hAnsi="宋体" w:cs="宋体"/>
          <w:b/>
          <w:color w:val="auto"/>
          <w:szCs w:val="21"/>
          <w:highlight w:val="none"/>
        </w:rPr>
        <w:t>1.2  资金来源和落实情况</w:t>
      </w:r>
      <w:bookmarkEnd w:id="115"/>
      <w:bookmarkEnd w:id="116"/>
      <w:bookmarkEnd w:id="117"/>
      <w:bookmarkEnd w:id="118"/>
      <w:bookmarkEnd w:id="119"/>
      <w:bookmarkEnd w:id="120"/>
      <w:bookmarkEnd w:id="121"/>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  本项目的资金来源：见竞选人须知前附表。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  本项目的出资比例：见竞选人须知前附表。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  本项目的资金落实情况：见竞选人须知前附表。</w:t>
      </w:r>
    </w:p>
    <w:p>
      <w:pPr>
        <w:spacing w:line="440" w:lineRule="exact"/>
        <w:outlineLvl w:val="2"/>
        <w:rPr>
          <w:rFonts w:ascii="宋体" w:hAnsi="宋体" w:cs="宋体"/>
          <w:b/>
          <w:color w:val="auto"/>
          <w:szCs w:val="21"/>
          <w:highlight w:val="none"/>
        </w:rPr>
      </w:pPr>
      <w:bookmarkStart w:id="122" w:name="_Toc277082555"/>
      <w:bookmarkStart w:id="123" w:name="_Toc224103320"/>
      <w:bookmarkStart w:id="124" w:name="_Toc287607749"/>
      <w:bookmarkStart w:id="125" w:name="_Toc200513129"/>
      <w:bookmarkStart w:id="126" w:name="_Toc430205971"/>
      <w:bookmarkStart w:id="127" w:name="_Toc2340"/>
      <w:bookmarkStart w:id="128" w:name="_Toc326274489"/>
      <w:r>
        <w:rPr>
          <w:rFonts w:hint="eastAsia" w:ascii="宋体" w:hAnsi="宋体" w:cs="宋体"/>
          <w:b/>
          <w:color w:val="auto"/>
          <w:szCs w:val="21"/>
          <w:highlight w:val="none"/>
        </w:rPr>
        <w:t>1.3  比选范围、计划工期和质量要求</w:t>
      </w:r>
      <w:bookmarkEnd w:id="122"/>
      <w:bookmarkEnd w:id="123"/>
      <w:bookmarkEnd w:id="124"/>
      <w:bookmarkEnd w:id="125"/>
      <w:bookmarkEnd w:id="126"/>
      <w:bookmarkEnd w:id="127"/>
      <w:bookmarkEnd w:id="128"/>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  本次比选范围：见竞选人须知前附表。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  本项目的服务期：见竞选人须知前附表。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  本项目的质量要求：见竞选人须知前附表。</w:t>
      </w:r>
    </w:p>
    <w:p>
      <w:pPr>
        <w:spacing w:line="440" w:lineRule="exact"/>
        <w:outlineLvl w:val="2"/>
        <w:rPr>
          <w:rFonts w:ascii="宋体" w:hAnsi="宋体" w:cs="宋体"/>
          <w:b/>
          <w:color w:val="auto"/>
          <w:szCs w:val="21"/>
          <w:highlight w:val="none"/>
        </w:rPr>
      </w:pPr>
      <w:bookmarkStart w:id="129" w:name="_Toc27658"/>
      <w:bookmarkStart w:id="130" w:name="_Toc200513131"/>
      <w:bookmarkStart w:id="131" w:name="_Toc277082557"/>
      <w:bookmarkStart w:id="132" w:name="_Toc287607751"/>
      <w:bookmarkStart w:id="133" w:name="_Toc224103322"/>
      <w:bookmarkStart w:id="134" w:name="_Toc430205972"/>
      <w:bookmarkStart w:id="135" w:name="_Toc326274490"/>
      <w:r>
        <w:rPr>
          <w:rFonts w:hint="eastAsia" w:ascii="宋体" w:hAnsi="宋体" w:cs="宋体"/>
          <w:b/>
          <w:color w:val="auto"/>
          <w:szCs w:val="21"/>
          <w:highlight w:val="none"/>
        </w:rPr>
        <w:t>1.4  竞选人资格要求</w:t>
      </w:r>
      <w:bookmarkEnd w:id="129"/>
      <w:bookmarkEnd w:id="130"/>
      <w:bookmarkEnd w:id="131"/>
      <w:bookmarkEnd w:id="132"/>
      <w:bookmarkEnd w:id="133"/>
      <w:bookmarkEnd w:id="134"/>
      <w:bookmarkEnd w:id="135"/>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 竞选人应具备承担本项目的资质条件、能力和信誉：见竞选人须知前附表。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  竞选人须知前附表规定不接受联合体参加比选。</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  竞选人不得存在下列情形之一：</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（1）与比选人存在利害关系可能影响公正性的法人、其他组织或者个人；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（2）为项目前期准备提供设计或咨询服务的及施工总承包的；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（3）为本项目的监理人；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（4）为本项目的代建人；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（5）为本项目提供代理服务的；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（6）与本项目的监理人或代建人或代理机构或施工单位同为一个法定代表人的；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（7）与本项目的监理人或代建人或代理机构或施工单位相互控股或参股的；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（8）与本项目的监理人或代建人或代理机构或施工单位相互任职或工作的；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（9）被责令停业的；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（10）被暂停或取消竞比选申请资格的；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（11）财产被接管或冻结的；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（12）单位负责人为同一人或者存在控股、管理关系的不同单位，不得在本项目中同时比选申请。</w:t>
      </w:r>
    </w:p>
    <w:p>
      <w:pPr>
        <w:spacing w:line="440" w:lineRule="exact"/>
        <w:outlineLvl w:val="2"/>
        <w:rPr>
          <w:rFonts w:ascii="宋体" w:hAnsi="宋体" w:cs="宋体"/>
          <w:b/>
          <w:color w:val="auto"/>
          <w:szCs w:val="21"/>
          <w:highlight w:val="none"/>
        </w:rPr>
      </w:pPr>
      <w:bookmarkStart w:id="136" w:name="_Toc224103323"/>
      <w:bookmarkStart w:id="137" w:name="_Toc200513132"/>
      <w:bookmarkStart w:id="138" w:name="_Toc430205973"/>
      <w:bookmarkStart w:id="139" w:name="_Toc326274491"/>
      <w:bookmarkStart w:id="140" w:name="_Toc287607752"/>
      <w:bookmarkStart w:id="141" w:name="_Toc277082558"/>
      <w:bookmarkStart w:id="142" w:name="_Toc7893"/>
      <w:r>
        <w:rPr>
          <w:rFonts w:hint="eastAsia" w:ascii="宋体" w:hAnsi="宋体" w:cs="宋体"/>
          <w:b/>
          <w:color w:val="auto"/>
          <w:szCs w:val="21"/>
          <w:highlight w:val="none"/>
        </w:rPr>
        <w:t>1.5  费用承担</w:t>
      </w:r>
      <w:bookmarkEnd w:id="136"/>
      <w:bookmarkEnd w:id="137"/>
      <w:bookmarkEnd w:id="138"/>
      <w:bookmarkEnd w:id="139"/>
      <w:bookmarkEnd w:id="140"/>
      <w:bookmarkEnd w:id="141"/>
      <w:bookmarkEnd w:id="142"/>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竞选人准备和参加比选申请活动发生的费用自理。</w:t>
      </w:r>
    </w:p>
    <w:p>
      <w:pPr>
        <w:spacing w:line="440" w:lineRule="exact"/>
        <w:outlineLvl w:val="2"/>
        <w:rPr>
          <w:rFonts w:ascii="宋体" w:hAnsi="宋体" w:cs="宋体"/>
          <w:b/>
          <w:color w:val="auto"/>
          <w:szCs w:val="21"/>
          <w:highlight w:val="none"/>
        </w:rPr>
      </w:pPr>
      <w:bookmarkStart w:id="143" w:name="_Toc277082559"/>
      <w:bookmarkStart w:id="144" w:name="_Toc326274492"/>
      <w:bookmarkStart w:id="145" w:name="_Toc13552"/>
      <w:bookmarkStart w:id="146" w:name="_Toc200513133"/>
      <w:bookmarkStart w:id="147" w:name="_Toc287607753"/>
      <w:bookmarkStart w:id="148" w:name="_Toc224103324"/>
      <w:bookmarkStart w:id="149" w:name="_Toc430205974"/>
      <w:r>
        <w:rPr>
          <w:rFonts w:hint="eastAsia" w:ascii="宋体" w:hAnsi="宋体" w:cs="宋体"/>
          <w:b/>
          <w:color w:val="auto"/>
          <w:szCs w:val="21"/>
          <w:highlight w:val="none"/>
        </w:rPr>
        <w:t>1.6  保密</w:t>
      </w:r>
      <w:bookmarkEnd w:id="143"/>
      <w:bookmarkEnd w:id="144"/>
      <w:bookmarkEnd w:id="145"/>
      <w:bookmarkEnd w:id="146"/>
      <w:bookmarkEnd w:id="147"/>
      <w:bookmarkEnd w:id="148"/>
      <w:bookmarkEnd w:id="149"/>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参与比选申请活动的各方应对比选文件和竞选文件中的商业和技术等秘密保密，违者应对由此造成的后果承担法律责任。</w:t>
      </w:r>
    </w:p>
    <w:p>
      <w:pPr>
        <w:spacing w:line="440" w:lineRule="exact"/>
        <w:outlineLvl w:val="2"/>
        <w:rPr>
          <w:rFonts w:ascii="宋体" w:hAnsi="宋体" w:cs="宋体"/>
          <w:b/>
          <w:color w:val="auto"/>
          <w:szCs w:val="21"/>
          <w:highlight w:val="none"/>
        </w:rPr>
      </w:pPr>
      <w:bookmarkStart w:id="150" w:name="_Toc25687"/>
      <w:bookmarkStart w:id="151" w:name="_Toc287607754"/>
      <w:bookmarkStart w:id="152" w:name="_Toc224103325"/>
      <w:bookmarkStart w:id="153" w:name="_Toc277082560"/>
      <w:bookmarkStart w:id="154" w:name="_Toc430205975"/>
      <w:bookmarkStart w:id="155" w:name="_Toc326274493"/>
      <w:bookmarkStart w:id="156" w:name="_Toc200513134"/>
      <w:r>
        <w:rPr>
          <w:rFonts w:hint="eastAsia" w:ascii="宋体" w:hAnsi="宋体" w:cs="宋体"/>
          <w:b/>
          <w:color w:val="auto"/>
          <w:szCs w:val="21"/>
          <w:highlight w:val="none"/>
        </w:rPr>
        <w:t>1.7  语言文字</w:t>
      </w:r>
      <w:bookmarkEnd w:id="150"/>
      <w:bookmarkEnd w:id="151"/>
      <w:bookmarkEnd w:id="152"/>
      <w:bookmarkEnd w:id="153"/>
      <w:bookmarkEnd w:id="154"/>
      <w:bookmarkEnd w:id="155"/>
      <w:bookmarkEnd w:id="156"/>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除专用术语外，与比选申请有关的语言均使用中文。必要时专用术语应附有中文注释。</w:t>
      </w:r>
    </w:p>
    <w:p>
      <w:pPr>
        <w:spacing w:line="440" w:lineRule="exact"/>
        <w:outlineLvl w:val="2"/>
        <w:rPr>
          <w:rFonts w:ascii="宋体" w:hAnsi="宋体" w:cs="宋体"/>
          <w:b/>
          <w:color w:val="auto"/>
          <w:szCs w:val="21"/>
          <w:highlight w:val="none"/>
        </w:rPr>
      </w:pPr>
      <w:bookmarkStart w:id="157" w:name="_Toc430205976"/>
      <w:bookmarkStart w:id="158" w:name="_Toc224103326"/>
      <w:bookmarkStart w:id="159" w:name="_Toc287607755"/>
      <w:bookmarkStart w:id="160" w:name="_Toc277082561"/>
      <w:bookmarkStart w:id="161" w:name="_Toc18797"/>
      <w:bookmarkStart w:id="162" w:name="_Toc326274494"/>
      <w:bookmarkStart w:id="163" w:name="_Toc200513135"/>
      <w:r>
        <w:rPr>
          <w:rFonts w:hint="eastAsia" w:ascii="宋体" w:hAnsi="宋体" w:cs="宋体"/>
          <w:b/>
          <w:color w:val="auto"/>
          <w:szCs w:val="21"/>
          <w:highlight w:val="none"/>
        </w:rPr>
        <w:t>1.8  计量单位</w:t>
      </w:r>
      <w:bookmarkEnd w:id="157"/>
      <w:bookmarkEnd w:id="158"/>
      <w:bookmarkEnd w:id="159"/>
      <w:bookmarkEnd w:id="160"/>
      <w:bookmarkEnd w:id="161"/>
      <w:bookmarkEnd w:id="162"/>
      <w:bookmarkEnd w:id="163"/>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spacing w:line="440" w:lineRule="exact"/>
        <w:outlineLvl w:val="2"/>
        <w:rPr>
          <w:rFonts w:ascii="宋体" w:hAnsi="宋体" w:cs="宋体"/>
          <w:b/>
          <w:color w:val="auto"/>
          <w:szCs w:val="21"/>
          <w:highlight w:val="none"/>
        </w:rPr>
      </w:pPr>
      <w:bookmarkStart w:id="164" w:name="_Toc9981"/>
      <w:bookmarkStart w:id="165" w:name="_Toc326274495"/>
      <w:bookmarkStart w:id="166" w:name="_Toc287607756"/>
      <w:bookmarkStart w:id="167" w:name="_Toc430205977"/>
      <w:bookmarkStart w:id="168" w:name="_Toc224103327"/>
      <w:bookmarkStart w:id="169" w:name="_Toc200513136"/>
      <w:bookmarkStart w:id="170" w:name="_Toc277082562"/>
      <w:r>
        <w:rPr>
          <w:rFonts w:hint="eastAsia" w:ascii="宋体" w:hAnsi="宋体" w:cs="宋体"/>
          <w:b/>
          <w:color w:val="auto"/>
          <w:szCs w:val="21"/>
          <w:highlight w:val="none"/>
        </w:rPr>
        <w:t>1.9  踏勘现场</w:t>
      </w:r>
      <w:bookmarkEnd w:id="164"/>
      <w:bookmarkEnd w:id="165"/>
      <w:bookmarkEnd w:id="166"/>
      <w:bookmarkEnd w:id="167"/>
      <w:bookmarkEnd w:id="168"/>
      <w:bookmarkEnd w:id="169"/>
      <w:bookmarkEnd w:id="170"/>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1.9.1  竞选人须知前附表规定不组织踏勘现场，由竞选人自行踏勘。</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1.9.2  竞选人踏勘现场发生的费用自理。</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1.9.3  竞选人自行负责在踏勘现场中所发生的人员伤亡和财产损失。</w:t>
      </w:r>
    </w:p>
    <w:p>
      <w:pPr>
        <w:spacing w:line="440" w:lineRule="exact"/>
        <w:outlineLvl w:val="2"/>
        <w:rPr>
          <w:rFonts w:ascii="宋体" w:hAnsi="宋体" w:cs="宋体"/>
          <w:b/>
          <w:color w:val="auto"/>
          <w:szCs w:val="21"/>
          <w:highlight w:val="none"/>
        </w:rPr>
      </w:pPr>
      <w:bookmarkStart w:id="171" w:name="_Toc430205978"/>
      <w:bookmarkStart w:id="172" w:name="_Toc224103328"/>
      <w:bookmarkStart w:id="173" w:name="_Toc287607757"/>
      <w:bookmarkStart w:id="174" w:name="_Toc277082563"/>
      <w:bookmarkStart w:id="175" w:name="_Toc29639"/>
      <w:bookmarkStart w:id="176" w:name="_Toc200513137"/>
      <w:bookmarkStart w:id="177" w:name="_Toc287607760"/>
      <w:bookmarkStart w:id="178" w:name="_Toc277082566"/>
      <w:bookmarkStart w:id="179" w:name="_Toc326274499"/>
      <w:bookmarkStart w:id="180" w:name="_Toc224103331"/>
      <w:bookmarkStart w:id="181" w:name="_Toc200513140"/>
      <w:r>
        <w:rPr>
          <w:rFonts w:hint="eastAsia" w:ascii="宋体" w:hAnsi="宋体" w:cs="宋体"/>
          <w:b/>
          <w:color w:val="auto"/>
          <w:szCs w:val="21"/>
          <w:highlight w:val="none"/>
        </w:rPr>
        <w:t>1.10  比选申请预备会</w:t>
      </w:r>
      <w:bookmarkEnd w:id="171"/>
      <w:bookmarkEnd w:id="172"/>
      <w:bookmarkEnd w:id="173"/>
      <w:bookmarkEnd w:id="174"/>
      <w:bookmarkEnd w:id="175"/>
      <w:bookmarkEnd w:id="176"/>
    </w:p>
    <w:p>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不召开。</w:t>
      </w:r>
    </w:p>
    <w:p>
      <w:pPr>
        <w:spacing w:line="440" w:lineRule="exact"/>
        <w:outlineLvl w:val="2"/>
        <w:rPr>
          <w:rFonts w:ascii="宋体" w:hAnsi="宋体" w:cs="宋体"/>
          <w:b/>
          <w:color w:val="auto"/>
          <w:szCs w:val="21"/>
          <w:highlight w:val="none"/>
        </w:rPr>
      </w:pPr>
      <w:bookmarkStart w:id="182" w:name="_Toc277082564"/>
      <w:bookmarkStart w:id="183" w:name="_Toc224103329"/>
      <w:bookmarkStart w:id="184" w:name="_Toc31020"/>
      <w:bookmarkStart w:id="185" w:name="_Toc200513138"/>
      <w:bookmarkStart w:id="186" w:name="_Toc430205979"/>
      <w:bookmarkStart w:id="187" w:name="_Toc287607758"/>
      <w:r>
        <w:rPr>
          <w:rFonts w:hint="eastAsia" w:ascii="宋体" w:hAnsi="宋体" w:cs="宋体"/>
          <w:b/>
          <w:color w:val="auto"/>
          <w:szCs w:val="21"/>
          <w:highlight w:val="none"/>
        </w:rPr>
        <w:t>1.11  分包</w:t>
      </w:r>
      <w:bookmarkEnd w:id="182"/>
      <w:bookmarkEnd w:id="183"/>
      <w:bookmarkEnd w:id="184"/>
      <w:bookmarkEnd w:id="185"/>
      <w:bookmarkEnd w:id="186"/>
      <w:bookmarkEnd w:id="187"/>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不允许分包。</w:t>
      </w:r>
    </w:p>
    <w:p>
      <w:pPr>
        <w:spacing w:line="440" w:lineRule="exact"/>
        <w:outlineLvl w:val="2"/>
        <w:rPr>
          <w:rFonts w:ascii="宋体" w:hAnsi="宋体" w:cs="宋体"/>
          <w:b/>
          <w:color w:val="auto"/>
          <w:szCs w:val="21"/>
          <w:highlight w:val="none"/>
        </w:rPr>
      </w:pPr>
      <w:bookmarkStart w:id="188" w:name="_Toc200513139"/>
      <w:bookmarkStart w:id="189" w:name="_Toc224103330"/>
      <w:bookmarkStart w:id="190" w:name="_Toc4386"/>
      <w:bookmarkStart w:id="191" w:name="_Toc277082565"/>
      <w:bookmarkStart w:id="192" w:name="_Toc430205980"/>
      <w:bookmarkStart w:id="193" w:name="_Toc287607759"/>
      <w:r>
        <w:rPr>
          <w:rFonts w:hint="eastAsia" w:ascii="宋体" w:hAnsi="宋体" w:cs="宋体"/>
          <w:b/>
          <w:color w:val="auto"/>
          <w:szCs w:val="21"/>
          <w:highlight w:val="none"/>
        </w:rPr>
        <w:t>1.12  偏离</w:t>
      </w:r>
      <w:bookmarkEnd w:id="188"/>
      <w:bookmarkEnd w:id="189"/>
      <w:bookmarkEnd w:id="190"/>
      <w:bookmarkEnd w:id="191"/>
      <w:bookmarkEnd w:id="192"/>
      <w:bookmarkEnd w:id="193"/>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不允许偏离。</w:t>
      </w:r>
    </w:p>
    <w:p>
      <w:pPr>
        <w:spacing w:line="440" w:lineRule="exact"/>
        <w:outlineLvl w:val="1"/>
        <w:rPr>
          <w:rFonts w:ascii="宋体" w:hAnsi="宋体" w:cs="宋体"/>
          <w:b/>
          <w:color w:val="auto"/>
          <w:szCs w:val="21"/>
          <w:highlight w:val="none"/>
        </w:rPr>
      </w:pPr>
      <w:bookmarkStart w:id="194" w:name="_Toc1425"/>
      <w:bookmarkStart w:id="195" w:name="_Toc20100"/>
      <w:bookmarkStart w:id="196" w:name="_Toc27972"/>
      <w:bookmarkStart w:id="197" w:name="_Toc430205981"/>
      <w:bookmarkStart w:id="198" w:name="_Toc13045"/>
      <w:bookmarkStart w:id="199" w:name="_Toc25346"/>
      <w:r>
        <w:rPr>
          <w:rFonts w:hint="eastAsia" w:ascii="宋体" w:hAnsi="宋体" w:cs="宋体"/>
          <w:b/>
          <w:color w:val="auto"/>
          <w:szCs w:val="21"/>
          <w:highlight w:val="none"/>
        </w:rPr>
        <w:t>2.  比选文件</w:t>
      </w:r>
      <w:bookmarkEnd w:id="177"/>
      <w:bookmarkEnd w:id="178"/>
      <w:bookmarkEnd w:id="179"/>
      <w:bookmarkEnd w:id="180"/>
      <w:bookmarkEnd w:id="181"/>
      <w:bookmarkEnd w:id="194"/>
      <w:bookmarkEnd w:id="195"/>
      <w:bookmarkEnd w:id="196"/>
      <w:bookmarkEnd w:id="197"/>
      <w:bookmarkEnd w:id="198"/>
      <w:bookmarkEnd w:id="199"/>
    </w:p>
    <w:p>
      <w:pPr>
        <w:spacing w:line="440" w:lineRule="exact"/>
        <w:outlineLvl w:val="2"/>
        <w:rPr>
          <w:rFonts w:ascii="宋体" w:hAnsi="宋体" w:cs="宋体"/>
          <w:b/>
          <w:color w:val="auto"/>
          <w:szCs w:val="21"/>
          <w:highlight w:val="none"/>
        </w:rPr>
      </w:pPr>
      <w:bookmarkStart w:id="200" w:name="_Toc200513141"/>
      <w:bookmarkStart w:id="201" w:name="_Toc19838"/>
      <w:bookmarkStart w:id="202" w:name="_Toc430205982"/>
      <w:bookmarkStart w:id="203" w:name="_Toc224103332"/>
      <w:bookmarkStart w:id="204" w:name="_Toc277082567"/>
      <w:bookmarkStart w:id="205" w:name="_Toc287607761"/>
      <w:bookmarkStart w:id="206" w:name="_Toc326274500"/>
      <w:r>
        <w:rPr>
          <w:rFonts w:hint="eastAsia" w:ascii="宋体" w:hAnsi="宋体" w:cs="宋体"/>
          <w:b/>
          <w:color w:val="auto"/>
          <w:szCs w:val="21"/>
          <w:highlight w:val="none"/>
        </w:rPr>
        <w:t>2.1  比选文件的组成</w:t>
      </w:r>
      <w:bookmarkEnd w:id="200"/>
      <w:bookmarkEnd w:id="201"/>
      <w:bookmarkEnd w:id="202"/>
      <w:bookmarkEnd w:id="203"/>
      <w:bookmarkEnd w:id="204"/>
      <w:bookmarkEnd w:id="205"/>
      <w:bookmarkEnd w:id="206"/>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本公比选文件包括：</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（1）比选公告</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（2）竞选人须知；</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（3）评审办法；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（4）合同条款及格式；</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（5）清单；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（6）图纸；</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（7）技术标准和要求；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（8）竞选文件格式；</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（9）竞选人须知前附表规定的其他材料。</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根据本章第1.10款、第2.2款和第2.3款对比选文件所作的澄清、修改，构成开竞争性比选文件的组成部分。</w:t>
      </w:r>
    </w:p>
    <w:p>
      <w:pPr>
        <w:spacing w:line="440" w:lineRule="exact"/>
        <w:outlineLvl w:val="2"/>
        <w:rPr>
          <w:rFonts w:ascii="宋体" w:hAnsi="宋体" w:cs="宋体"/>
          <w:b/>
          <w:color w:val="auto"/>
          <w:szCs w:val="21"/>
          <w:highlight w:val="none"/>
        </w:rPr>
      </w:pPr>
      <w:bookmarkStart w:id="207" w:name="_Toc5725"/>
      <w:bookmarkStart w:id="208" w:name="_Toc287607762"/>
      <w:bookmarkStart w:id="209" w:name="_Toc224103333"/>
      <w:bookmarkStart w:id="210" w:name="_Toc430205983"/>
      <w:bookmarkStart w:id="211" w:name="_Toc277082568"/>
      <w:bookmarkStart w:id="212" w:name="_Toc326274501"/>
      <w:bookmarkStart w:id="213" w:name="_Toc200513142"/>
      <w:r>
        <w:rPr>
          <w:rFonts w:hint="eastAsia" w:ascii="宋体" w:hAnsi="宋体" w:cs="宋体"/>
          <w:b/>
          <w:color w:val="auto"/>
          <w:szCs w:val="21"/>
          <w:highlight w:val="none"/>
        </w:rPr>
        <w:t>2.2 比选文件的澄清</w:t>
      </w:r>
      <w:bookmarkEnd w:id="207"/>
      <w:bookmarkEnd w:id="208"/>
      <w:bookmarkEnd w:id="209"/>
      <w:bookmarkEnd w:id="210"/>
      <w:bookmarkEnd w:id="211"/>
      <w:bookmarkEnd w:id="212"/>
      <w:bookmarkEnd w:id="213"/>
    </w:p>
    <w:p>
      <w:pPr>
        <w:autoSpaceDE w:val="0"/>
        <w:autoSpaceDN w:val="0"/>
        <w:adjustRightInd w:val="0"/>
        <w:snapToGrid w:val="0"/>
        <w:spacing w:line="440" w:lineRule="exact"/>
        <w:ind w:firstLine="420"/>
        <w:jc w:val="left"/>
        <w:rPr>
          <w:rFonts w:ascii="宋体" w:hAnsi="宋体" w:cs="宋体"/>
          <w:snapToGrid w:val="0"/>
          <w:color w:val="auto"/>
          <w:kern w:val="0"/>
          <w:szCs w:val="21"/>
          <w:highlight w:val="none"/>
        </w:rPr>
      </w:pPr>
      <w:bookmarkStart w:id="214" w:name="_Toc224103334"/>
      <w:bookmarkStart w:id="215" w:name="_Toc277082569"/>
      <w:bookmarkStart w:id="216" w:name="_Toc287607763"/>
      <w:bookmarkStart w:id="217" w:name="_Toc200513143"/>
      <w:bookmarkStart w:id="218" w:name="_Toc26826"/>
      <w:bookmarkStart w:id="219" w:name="_Toc430205984"/>
      <w:bookmarkStart w:id="220" w:name="_Toc326274502"/>
      <w:r>
        <w:rPr>
          <w:rFonts w:hint="eastAsia" w:ascii="宋体" w:hAnsi="宋体" w:cs="宋体"/>
          <w:snapToGrid w:val="0"/>
          <w:color w:val="auto"/>
          <w:kern w:val="0"/>
          <w:szCs w:val="21"/>
          <w:highlight w:val="none"/>
        </w:rPr>
        <w:t xml:space="preserve">2.2.1  </w:t>
      </w:r>
      <w:r>
        <w:rPr>
          <w:rFonts w:hint="eastAsia" w:ascii="宋体" w:hAnsi="宋体" w:cs="宋体"/>
          <w:color w:val="auto"/>
          <w:szCs w:val="21"/>
          <w:highlight w:val="none"/>
        </w:rPr>
        <w:t>竞选人在收到比选文件及比选相关资料后，应仔细检查比选文件的所有内容，如有残缺或文字表述不清，图纸尺寸标注不明以及存在错、碰、漏、缺、概念模糊和有可能出现歧义或理解上的偏差的内容等应及时以书面方式传真至比选代理机构</w:t>
      </w:r>
      <w:r>
        <w:rPr>
          <w:rFonts w:hint="eastAsia" w:ascii="宋体" w:hAnsi="宋体" w:cs="宋体"/>
          <w:color w:val="auto"/>
          <w:kern w:val="0"/>
          <w:szCs w:val="21"/>
          <w:highlight w:val="none"/>
        </w:rPr>
        <w:t>（传真：023-67718335 邮箱：2905485474 @qq.com 联系人：龚老师）</w:t>
      </w:r>
      <w:r>
        <w:rPr>
          <w:rFonts w:hint="eastAsia" w:ascii="宋体" w:hAnsi="宋体" w:cs="宋体"/>
          <w:color w:val="auto"/>
          <w:szCs w:val="21"/>
          <w:highlight w:val="none"/>
        </w:rPr>
        <w:t>。超出规定时间提出的，比选人将不做任何形式的答疑。</w:t>
      </w:r>
    </w:p>
    <w:p>
      <w:pPr>
        <w:autoSpaceDE w:val="0"/>
        <w:autoSpaceDN w:val="0"/>
        <w:adjustRightInd w:val="0"/>
        <w:snapToGrid w:val="0"/>
        <w:spacing w:line="440" w:lineRule="exact"/>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2.2.2 </w:t>
      </w:r>
      <w:r>
        <w:rPr>
          <w:rFonts w:hint="eastAsia" w:ascii="宋体" w:hAnsi="宋体" w:cs="宋体"/>
          <w:color w:val="auto"/>
          <w:szCs w:val="21"/>
          <w:highlight w:val="none"/>
        </w:rPr>
        <w:t>比选文件的澄清将在竞选人须知前附表规定的时间前上传至“行采家”，各竞选人自行下载，不再另行通知。</w:t>
      </w:r>
    </w:p>
    <w:p>
      <w:pPr>
        <w:spacing w:line="380" w:lineRule="exact"/>
        <w:outlineLvl w:val="2"/>
        <w:rPr>
          <w:rFonts w:ascii="宋体" w:hAnsi="宋体" w:cs="宋体"/>
          <w:b/>
          <w:color w:val="auto"/>
          <w:szCs w:val="21"/>
          <w:highlight w:val="none"/>
        </w:rPr>
      </w:pPr>
      <w:r>
        <w:rPr>
          <w:rFonts w:hint="eastAsia" w:ascii="宋体" w:hAnsi="宋体" w:cs="宋体"/>
          <w:b/>
          <w:color w:val="auto"/>
          <w:szCs w:val="21"/>
          <w:highlight w:val="none"/>
        </w:rPr>
        <w:t>2.3  比选文件的修改</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2.3.1  在竞选人须知前附表规定的时间，比选人可以书面形式修改比选文件，并上传至“</w:t>
      </w:r>
      <w:r>
        <w:rPr>
          <w:rFonts w:hint="eastAsia" w:ascii="宋体" w:hAnsi="宋体" w:cs="宋体"/>
          <w:snapToGrid w:val="0"/>
          <w:color w:val="auto"/>
          <w:kern w:val="0"/>
          <w:szCs w:val="21"/>
          <w:highlight w:val="none"/>
        </w:rPr>
        <w:t>行采家”</w:t>
      </w:r>
      <w:r>
        <w:rPr>
          <w:rFonts w:hint="eastAsia" w:ascii="宋体" w:hAnsi="宋体" w:cs="宋体"/>
          <w:color w:val="auto"/>
          <w:szCs w:val="21"/>
          <w:highlight w:val="none"/>
        </w:rPr>
        <w:t>，各竞选人自行下载，不再另行通知。竞选人在开标前因未随时关注比选咨询系统发布的补遗通知而产生的一切后果由竞选人自负。</w:t>
      </w:r>
    </w:p>
    <w:bookmarkEnd w:id="214"/>
    <w:bookmarkEnd w:id="215"/>
    <w:bookmarkEnd w:id="216"/>
    <w:bookmarkEnd w:id="217"/>
    <w:bookmarkEnd w:id="218"/>
    <w:bookmarkEnd w:id="219"/>
    <w:bookmarkEnd w:id="220"/>
    <w:p>
      <w:pPr>
        <w:spacing w:line="440" w:lineRule="exact"/>
        <w:outlineLvl w:val="1"/>
        <w:rPr>
          <w:rFonts w:ascii="宋体" w:hAnsi="宋体" w:cs="宋体"/>
          <w:b/>
          <w:color w:val="auto"/>
          <w:szCs w:val="21"/>
          <w:highlight w:val="none"/>
        </w:rPr>
      </w:pPr>
      <w:bookmarkStart w:id="221" w:name="_Toc25641"/>
      <w:bookmarkStart w:id="222" w:name="_Toc224103335"/>
      <w:bookmarkStart w:id="223" w:name="_Toc287607764"/>
      <w:bookmarkStart w:id="224" w:name="_Toc23634"/>
      <w:bookmarkStart w:id="225" w:name="_Toc430205985"/>
      <w:bookmarkStart w:id="226" w:name="_Toc200513144"/>
      <w:bookmarkStart w:id="227" w:name="_Toc326274503"/>
      <w:bookmarkStart w:id="228" w:name="_Toc14578"/>
      <w:bookmarkStart w:id="229" w:name="_Toc12056"/>
      <w:bookmarkStart w:id="230" w:name="_Toc277082570"/>
      <w:bookmarkStart w:id="231" w:name="_Toc653"/>
      <w:r>
        <w:rPr>
          <w:rFonts w:hint="eastAsia" w:ascii="宋体" w:hAnsi="宋体" w:cs="宋体"/>
          <w:b/>
          <w:color w:val="auto"/>
          <w:szCs w:val="21"/>
          <w:highlight w:val="none"/>
        </w:rPr>
        <w:t xml:space="preserve">3.  </w:t>
      </w:r>
      <w:bookmarkEnd w:id="221"/>
      <w:bookmarkEnd w:id="222"/>
      <w:bookmarkEnd w:id="223"/>
      <w:bookmarkEnd w:id="224"/>
      <w:bookmarkEnd w:id="225"/>
      <w:bookmarkEnd w:id="226"/>
      <w:bookmarkEnd w:id="227"/>
      <w:bookmarkEnd w:id="228"/>
      <w:bookmarkEnd w:id="229"/>
      <w:bookmarkEnd w:id="230"/>
      <w:r>
        <w:rPr>
          <w:rFonts w:hint="eastAsia" w:ascii="宋体" w:hAnsi="宋体" w:cs="宋体"/>
          <w:b/>
          <w:color w:val="auto"/>
          <w:szCs w:val="21"/>
          <w:highlight w:val="none"/>
        </w:rPr>
        <w:t>竞选文件</w:t>
      </w:r>
      <w:bookmarkEnd w:id="231"/>
    </w:p>
    <w:p>
      <w:pPr>
        <w:spacing w:line="440" w:lineRule="exact"/>
        <w:outlineLvl w:val="2"/>
        <w:rPr>
          <w:rFonts w:ascii="宋体" w:hAnsi="宋体" w:cs="宋体"/>
          <w:b/>
          <w:color w:val="auto"/>
          <w:szCs w:val="21"/>
          <w:highlight w:val="none"/>
        </w:rPr>
      </w:pPr>
      <w:bookmarkStart w:id="232" w:name="_Toc200513145"/>
      <w:bookmarkStart w:id="233" w:name="_Toc224103336"/>
      <w:bookmarkStart w:id="234" w:name="_Toc277082571"/>
      <w:bookmarkStart w:id="235" w:name="_Toc5474"/>
      <w:bookmarkStart w:id="236" w:name="_Toc430205986"/>
      <w:bookmarkStart w:id="237" w:name="_Toc287607765"/>
      <w:bookmarkStart w:id="238" w:name="_Toc326274504"/>
      <w:r>
        <w:rPr>
          <w:rFonts w:hint="eastAsia" w:ascii="宋体" w:hAnsi="宋体" w:cs="宋体"/>
          <w:b/>
          <w:color w:val="auto"/>
          <w:szCs w:val="21"/>
          <w:highlight w:val="none"/>
        </w:rPr>
        <w:t>3.1  竞选文件的组成</w:t>
      </w:r>
      <w:bookmarkEnd w:id="232"/>
      <w:bookmarkEnd w:id="233"/>
      <w:bookmarkEnd w:id="234"/>
      <w:bookmarkEnd w:id="235"/>
      <w:bookmarkEnd w:id="236"/>
      <w:bookmarkEnd w:id="237"/>
      <w:bookmarkEnd w:id="238"/>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竞选文件应包括下列内容：</w:t>
      </w:r>
      <w:bookmarkStart w:id="239" w:name="_Toc8470"/>
      <w:bookmarkStart w:id="240" w:name="_Toc287607766"/>
      <w:bookmarkStart w:id="241" w:name="_Toc200513146"/>
      <w:bookmarkStart w:id="242" w:name="_Toc430205987"/>
      <w:bookmarkStart w:id="243" w:name="_Toc277082572"/>
      <w:bookmarkStart w:id="244" w:name="_Toc326274505"/>
      <w:bookmarkStart w:id="245" w:name="_Toc224103337"/>
    </w:p>
    <w:p>
      <w:pPr>
        <w:autoSpaceDE w:val="0"/>
        <w:autoSpaceDN w:val="0"/>
        <w:adjustRightInd w:val="0"/>
        <w:snapToGrid w:val="0"/>
        <w:spacing w:line="44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一、竞选函部分</w:t>
      </w:r>
    </w:p>
    <w:p>
      <w:pPr>
        <w:autoSpaceDE w:val="0"/>
        <w:autoSpaceDN w:val="0"/>
        <w:adjustRightInd w:val="0"/>
        <w:spacing w:line="440" w:lineRule="exact"/>
        <w:ind w:right="-20"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（一）竞选函</w:t>
      </w:r>
    </w:p>
    <w:p>
      <w:pPr>
        <w:autoSpaceDE w:val="0"/>
        <w:autoSpaceDN w:val="0"/>
        <w:adjustRightInd w:val="0"/>
        <w:spacing w:line="440" w:lineRule="exact"/>
        <w:ind w:right="-20"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（二）法定代表人身份证明、授权委托书及项目经理委任书</w:t>
      </w:r>
    </w:p>
    <w:p>
      <w:pPr>
        <w:autoSpaceDE w:val="0"/>
        <w:autoSpaceDN w:val="0"/>
        <w:adjustRightInd w:val="0"/>
        <w:snapToGrid w:val="0"/>
        <w:spacing w:line="44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二、商务部分</w:t>
      </w:r>
    </w:p>
    <w:p>
      <w:pPr>
        <w:autoSpaceDE w:val="0"/>
        <w:autoSpaceDN w:val="0"/>
        <w:adjustRightInd w:val="0"/>
        <w:spacing w:line="440" w:lineRule="exact"/>
        <w:ind w:right="-20" w:firstLine="210" w:firstLineChars="100"/>
        <w:jc w:val="left"/>
        <w:rPr>
          <w:rFonts w:ascii="宋体" w:hAnsi="宋体" w:cs="宋体"/>
          <w:color w:val="auto"/>
          <w:szCs w:val="21"/>
          <w:highlight w:val="none"/>
        </w:rPr>
      </w:pPr>
      <w:r>
        <w:rPr>
          <w:rFonts w:hint="eastAsia" w:ascii="宋体" w:hAnsi="宋体" w:cs="宋体"/>
          <w:color w:val="auto"/>
          <w:szCs w:val="21"/>
          <w:highlight w:val="none"/>
        </w:rPr>
        <w:t>已标价工程量清单</w:t>
      </w:r>
    </w:p>
    <w:p>
      <w:pPr>
        <w:autoSpaceDE w:val="0"/>
        <w:autoSpaceDN w:val="0"/>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kern w:val="0"/>
          <w:szCs w:val="21"/>
          <w:highlight w:val="none"/>
        </w:rPr>
        <w:t>三、</w:t>
      </w:r>
      <w:r>
        <w:rPr>
          <w:rFonts w:hint="eastAsia" w:ascii="宋体" w:hAnsi="宋体" w:cs="宋体"/>
          <w:b/>
          <w:color w:val="auto"/>
          <w:szCs w:val="21"/>
          <w:highlight w:val="none"/>
        </w:rPr>
        <w:t>资格审查资料</w:t>
      </w:r>
    </w:p>
    <w:p>
      <w:pPr>
        <w:autoSpaceDE w:val="0"/>
        <w:autoSpaceDN w:val="0"/>
        <w:adjustRightInd w:val="0"/>
        <w:spacing w:line="440" w:lineRule="exact"/>
        <w:ind w:right="-20" w:firstLine="210" w:firstLineChars="100"/>
        <w:jc w:val="left"/>
        <w:rPr>
          <w:rFonts w:ascii="宋体" w:hAnsi="宋体" w:cs="宋体"/>
          <w:color w:val="auto"/>
          <w:szCs w:val="21"/>
          <w:highlight w:val="none"/>
        </w:rPr>
      </w:pPr>
      <w:r>
        <w:rPr>
          <w:rFonts w:hint="eastAsia" w:ascii="宋体" w:hAnsi="宋体" w:cs="宋体"/>
          <w:color w:val="auto"/>
          <w:szCs w:val="21"/>
          <w:highlight w:val="none"/>
        </w:rPr>
        <w:t>（一）法定代表人身份证明、授权委托书及项目经理委任书</w:t>
      </w:r>
    </w:p>
    <w:p>
      <w:pPr>
        <w:autoSpaceDE w:val="0"/>
        <w:autoSpaceDN w:val="0"/>
        <w:adjustRightInd w:val="0"/>
        <w:spacing w:line="440" w:lineRule="exact"/>
        <w:ind w:right="-20" w:firstLine="210" w:firstLineChars="100"/>
        <w:jc w:val="left"/>
        <w:rPr>
          <w:rFonts w:ascii="宋体" w:hAnsi="宋体" w:cs="宋体"/>
          <w:color w:val="auto"/>
          <w:szCs w:val="21"/>
          <w:highlight w:val="none"/>
        </w:rPr>
      </w:pPr>
      <w:r>
        <w:rPr>
          <w:rFonts w:hint="eastAsia" w:ascii="宋体" w:hAnsi="宋体" w:cs="宋体"/>
          <w:color w:val="auto"/>
          <w:szCs w:val="21"/>
          <w:highlight w:val="none"/>
        </w:rPr>
        <w:t>（二）竞选人基本情况</w:t>
      </w:r>
    </w:p>
    <w:p>
      <w:pPr>
        <w:autoSpaceDE w:val="0"/>
        <w:autoSpaceDN w:val="0"/>
        <w:adjustRightInd w:val="0"/>
        <w:spacing w:line="440" w:lineRule="exact"/>
        <w:ind w:right="-20" w:firstLine="210" w:firstLineChars="100"/>
        <w:jc w:val="left"/>
        <w:rPr>
          <w:rFonts w:ascii="宋体" w:hAnsi="宋体" w:cs="宋体"/>
          <w:color w:val="auto"/>
          <w:szCs w:val="21"/>
          <w:highlight w:val="none"/>
        </w:rPr>
      </w:pPr>
      <w:r>
        <w:rPr>
          <w:rFonts w:hint="eastAsia" w:ascii="宋体" w:hAnsi="宋体" w:cs="宋体"/>
          <w:color w:val="auto"/>
          <w:szCs w:val="21"/>
          <w:highlight w:val="none"/>
        </w:rPr>
        <w:t>（三）项目管理机构</w:t>
      </w:r>
    </w:p>
    <w:p>
      <w:pPr>
        <w:autoSpaceDE w:val="0"/>
        <w:autoSpaceDN w:val="0"/>
        <w:adjustRightInd w:val="0"/>
        <w:spacing w:line="440" w:lineRule="exact"/>
        <w:ind w:right="-20" w:firstLine="210" w:firstLineChars="100"/>
        <w:jc w:val="left"/>
        <w:rPr>
          <w:rFonts w:ascii="宋体" w:hAnsi="宋体" w:cs="宋体"/>
          <w:color w:val="auto"/>
          <w:szCs w:val="21"/>
          <w:highlight w:val="none"/>
        </w:rPr>
      </w:pPr>
      <w:r>
        <w:rPr>
          <w:rFonts w:hint="eastAsia" w:ascii="宋体" w:hAnsi="宋体" w:cs="宋体"/>
          <w:color w:val="auto"/>
          <w:szCs w:val="21"/>
          <w:highlight w:val="none"/>
        </w:rPr>
        <w:t>（四）近年财务状况表</w:t>
      </w:r>
    </w:p>
    <w:p>
      <w:pPr>
        <w:autoSpaceDE w:val="0"/>
        <w:autoSpaceDN w:val="0"/>
        <w:adjustRightInd w:val="0"/>
        <w:spacing w:line="440" w:lineRule="exact"/>
        <w:ind w:right="-20" w:firstLine="210" w:firstLineChars="100"/>
        <w:jc w:val="left"/>
        <w:rPr>
          <w:rFonts w:ascii="宋体" w:hAnsi="宋体" w:cs="宋体"/>
          <w:color w:val="auto"/>
          <w:szCs w:val="21"/>
          <w:highlight w:val="none"/>
        </w:rPr>
      </w:pPr>
      <w:r>
        <w:rPr>
          <w:rFonts w:hint="eastAsia" w:ascii="宋体" w:hAnsi="宋体" w:cs="宋体"/>
          <w:color w:val="auto"/>
          <w:szCs w:val="21"/>
          <w:highlight w:val="none"/>
        </w:rPr>
        <w:t>（五）近年完成的类似项目情况表</w:t>
      </w:r>
    </w:p>
    <w:p>
      <w:pPr>
        <w:autoSpaceDE w:val="0"/>
        <w:autoSpaceDN w:val="0"/>
        <w:adjustRightInd w:val="0"/>
        <w:spacing w:line="440" w:lineRule="exact"/>
        <w:ind w:right="-20" w:firstLine="210" w:firstLineChars="100"/>
        <w:jc w:val="left"/>
        <w:rPr>
          <w:rFonts w:ascii="宋体" w:hAnsi="宋体" w:cs="宋体"/>
          <w:color w:val="auto"/>
          <w:szCs w:val="21"/>
          <w:highlight w:val="none"/>
        </w:rPr>
      </w:pPr>
      <w:r>
        <w:rPr>
          <w:rFonts w:hint="eastAsia" w:ascii="宋体" w:hAnsi="宋体" w:cs="宋体"/>
          <w:color w:val="auto"/>
          <w:szCs w:val="21"/>
          <w:highlight w:val="none"/>
        </w:rPr>
        <w:t>（六）信誉声明</w:t>
      </w:r>
    </w:p>
    <w:p>
      <w:pPr>
        <w:autoSpaceDE w:val="0"/>
        <w:autoSpaceDN w:val="0"/>
        <w:adjustRightInd w:val="0"/>
        <w:spacing w:line="440" w:lineRule="exact"/>
        <w:ind w:right="-20" w:firstLine="210" w:firstLineChars="100"/>
        <w:jc w:val="left"/>
        <w:rPr>
          <w:rFonts w:ascii="宋体" w:hAnsi="宋体" w:cs="宋体"/>
          <w:color w:val="auto"/>
          <w:szCs w:val="21"/>
          <w:highlight w:val="none"/>
        </w:rPr>
      </w:pPr>
      <w:r>
        <w:rPr>
          <w:rFonts w:hint="eastAsia" w:ascii="宋体" w:hAnsi="宋体" w:cs="宋体"/>
          <w:color w:val="auto"/>
          <w:szCs w:val="21"/>
          <w:highlight w:val="none"/>
        </w:rPr>
        <w:t>（七）其他资料</w:t>
      </w:r>
    </w:p>
    <w:p>
      <w:pPr>
        <w:autoSpaceDE w:val="0"/>
        <w:autoSpaceDN w:val="0"/>
        <w:adjustRightInd w:val="0"/>
        <w:snapToGrid w:val="0"/>
        <w:spacing w:line="44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四、技术部分</w:t>
      </w:r>
    </w:p>
    <w:p>
      <w:pPr>
        <w:autoSpaceDE w:val="0"/>
        <w:autoSpaceDN w:val="0"/>
        <w:adjustRightInd w:val="0"/>
        <w:spacing w:line="440" w:lineRule="exact"/>
        <w:ind w:right="-20"/>
        <w:jc w:val="left"/>
        <w:rPr>
          <w:rFonts w:ascii="宋体" w:hAnsi="宋体" w:cs="宋体"/>
          <w:color w:val="auto"/>
          <w:szCs w:val="21"/>
          <w:highlight w:val="none"/>
        </w:rPr>
      </w:pPr>
      <w:r>
        <w:rPr>
          <w:rFonts w:hint="eastAsia" w:ascii="宋体" w:hAnsi="宋体" w:cs="宋体"/>
          <w:color w:val="auto"/>
          <w:szCs w:val="21"/>
          <w:highlight w:val="none"/>
        </w:rPr>
        <w:t>由竞选人自行编制</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3.2  </w:t>
      </w:r>
      <w:bookmarkEnd w:id="239"/>
      <w:bookmarkEnd w:id="240"/>
      <w:bookmarkEnd w:id="241"/>
      <w:bookmarkEnd w:id="242"/>
      <w:bookmarkEnd w:id="243"/>
      <w:bookmarkEnd w:id="244"/>
      <w:bookmarkEnd w:id="245"/>
      <w:r>
        <w:rPr>
          <w:rFonts w:hint="eastAsia" w:ascii="宋体" w:hAnsi="宋体" w:cs="宋体"/>
          <w:b/>
          <w:color w:val="auto"/>
          <w:szCs w:val="21"/>
          <w:highlight w:val="none"/>
        </w:rPr>
        <w:t>竞选报价</w:t>
      </w:r>
    </w:p>
    <w:p>
      <w:pPr>
        <w:spacing w:line="440" w:lineRule="exact"/>
        <w:ind w:firstLine="420" w:firstLineChars="200"/>
        <w:rPr>
          <w:rFonts w:ascii="宋体" w:hAnsi="宋体" w:cs="宋体"/>
          <w:color w:val="auto"/>
          <w:szCs w:val="21"/>
          <w:highlight w:val="none"/>
        </w:rPr>
      </w:pPr>
      <w:bookmarkStart w:id="246" w:name="_Toc277082573"/>
      <w:bookmarkStart w:id="247" w:name="_Toc287607767"/>
      <w:bookmarkStart w:id="248" w:name="_Toc224103338"/>
      <w:bookmarkStart w:id="249" w:name="_Toc200513147"/>
      <w:r>
        <w:rPr>
          <w:rFonts w:hint="eastAsia" w:ascii="宋体" w:hAnsi="宋体" w:cs="宋体"/>
          <w:color w:val="auto"/>
          <w:szCs w:val="21"/>
          <w:highlight w:val="none"/>
        </w:rPr>
        <w:t>详见竞选人须知前附表。</w:t>
      </w:r>
    </w:p>
    <w:p>
      <w:pPr>
        <w:spacing w:line="440" w:lineRule="exact"/>
        <w:outlineLvl w:val="2"/>
        <w:rPr>
          <w:rFonts w:ascii="宋体" w:hAnsi="宋体" w:cs="宋体"/>
          <w:b/>
          <w:color w:val="auto"/>
          <w:szCs w:val="21"/>
          <w:highlight w:val="none"/>
        </w:rPr>
      </w:pPr>
      <w:bookmarkStart w:id="250" w:name="_Toc430205988"/>
      <w:bookmarkStart w:id="251" w:name="_Toc17333"/>
      <w:bookmarkStart w:id="252" w:name="_Toc326274506"/>
      <w:r>
        <w:rPr>
          <w:rFonts w:hint="eastAsia" w:ascii="宋体" w:hAnsi="宋体" w:cs="宋体"/>
          <w:b/>
          <w:color w:val="auto"/>
          <w:szCs w:val="21"/>
          <w:highlight w:val="none"/>
        </w:rPr>
        <w:t xml:space="preserve">    3.3  比选申请有效期</w:t>
      </w:r>
      <w:bookmarkEnd w:id="246"/>
      <w:bookmarkEnd w:id="247"/>
      <w:bookmarkEnd w:id="248"/>
      <w:bookmarkEnd w:id="249"/>
      <w:bookmarkEnd w:id="250"/>
      <w:bookmarkEnd w:id="251"/>
      <w:bookmarkEnd w:id="252"/>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  在竞选人须知前附表规定的比选申请有效期内，竞选人不得要求撤销或修改其竞选文件。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3.3.2  出现特殊情况需要延长比选申请有效期的，比选人以书面形式通知所有竞选人延长比选申请有效期。竞选人同意延长的，应相应延长其比选保证金的有效期，但不得要求或被允许修改或撤销其竞选文件；竞选人拒绝延长的，其比选申请失效，但竞选人有权收回其比选保证金。</w:t>
      </w:r>
    </w:p>
    <w:p>
      <w:pPr>
        <w:spacing w:line="440" w:lineRule="exact"/>
        <w:outlineLvl w:val="2"/>
        <w:rPr>
          <w:rFonts w:ascii="宋体" w:hAnsi="宋体" w:cs="宋体"/>
          <w:b/>
          <w:color w:val="auto"/>
          <w:szCs w:val="21"/>
          <w:highlight w:val="none"/>
        </w:rPr>
      </w:pPr>
      <w:bookmarkStart w:id="253" w:name="_Toc430205989"/>
      <w:bookmarkStart w:id="254" w:name="_Toc287607768"/>
      <w:bookmarkStart w:id="255" w:name="_Toc277082574"/>
      <w:bookmarkStart w:id="256" w:name="_Toc326274507"/>
      <w:bookmarkStart w:id="257" w:name="_Toc200513148"/>
      <w:bookmarkStart w:id="258" w:name="_Toc224103339"/>
      <w:bookmarkStart w:id="259" w:name="_Toc18006"/>
      <w:r>
        <w:rPr>
          <w:rFonts w:hint="eastAsia" w:ascii="宋体" w:hAnsi="宋体" w:cs="宋体"/>
          <w:b/>
          <w:color w:val="auto"/>
          <w:szCs w:val="21"/>
          <w:highlight w:val="none"/>
        </w:rPr>
        <w:t>3.4  比选保证金</w:t>
      </w:r>
      <w:bookmarkEnd w:id="253"/>
      <w:bookmarkEnd w:id="254"/>
      <w:bookmarkEnd w:id="255"/>
      <w:bookmarkEnd w:id="256"/>
      <w:bookmarkEnd w:id="257"/>
      <w:bookmarkEnd w:id="258"/>
      <w:bookmarkEnd w:id="259"/>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3.4.1  竞选人在递交竞选文件的同时，应按竞选人须知前附表规定的金额、担保形式和第八章“竞选文件格式”规定的比选保证金格式递交比选保证金，并作为其竞选文件的组成部分。</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3.4.2  竞选人不按本章第 3.4.1 项要求提交比选保证金的，其竞选文件作废标处理。</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3.4.3  比选保证金退还：见竞选人须知前附表。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3.4.4  有下列情形之一的，比选保证金将不予退还：</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（1）竞选人在规定的比选有效期内撤销或修改其竞选文件；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（2）中选通知书发出后，中选人无正当理由放弃中选或在规定时间内不与比选人签订合同；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（3）中选人在收到中选通知书后，无正当理由拒签合同协议书或未按竞选文件规定提交履约担保；</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（4）在签发中选通知书前，竞选人被比选人及监督部门查实具有弄虚作假及围标串标行为；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（5）中选候选人放弃中选的（不可抗力因素除外）；</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（6）竞争性比选文件规定的其他情形。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3.4.5（1）比选保证金为无条件担保；</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（2）比选保证金的受益人为比选人。</w:t>
      </w:r>
    </w:p>
    <w:p>
      <w:pPr>
        <w:spacing w:line="440" w:lineRule="exact"/>
        <w:outlineLvl w:val="2"/>
        <w:rPr>
          <w:rFonts w:ascii="宋体" w:hAnsi="宋体" w:cs="宋体"/>
          <w:b/>
          <w:color w:val="auto"/>
          <w:szCs w:val="21"/>
          <w:highlight w:val="none"/>
        </w:rPr>
      </w:pPr>
      <w:bookmarkStart w:id="260" w:name="_Toc3048"/>
      <w:bookmarkStart w:id="261" w:name="_Toc200513150"/>
      <w:bookmarkStart w:id="262" w:name="_Toc277082576"/>
      <w:bookmarkStart w:id="263" w:name="_Toc287607770"/>
      <w:bookmarkStart w:id="264" w:name="_Toc430205990"/>
      <w:bookmarkStart w:id="265" w:name="_Toc326274508"/>
      <w:bookmarkStart w:id="266" w:name="_Toc224103341"/>
      <w:r>
        <w:rPr>
          <w:rFonts w:hint="eastAsia" w:ascii="宋体" w:hAnsi="宋体" w:cs="宋体"/>
          <w:b/>
          <w:color w:val="auto"/>
          <w:szCs w:val="21"/>
          <w:highlight w:val="none"/>
        </w:rPr>
        <w:t>3.5  资格审查资料</w:t>
      </w:r>
      <w:bookmarkEnd w:id="260"/>
      <w:bookmarkEnd w:id="261"/>
      <w:bookmarkEnd w:id="262"/>
      <w:bookmarkEnd w:id="263"/>
      <w:bookmarkEnd w:id="264"/>
      <w:bookmarkEnd w:id="265"/>
      <w:bookmarkEnd w:id="266"/>
    </w:p>
    <w:p>
      <w:pPr>
        <w:spacing w:line="440" w:lineRule="exact"/>
        <w:ind w:firstLine="420" w:firstLineChars="200"/>
        <w:rPr>
          <w:rFonts w:ascii="宋体" w:hAnsi="宋体" w:cs="宋体"/>
          <w:color w:val="auto"/>
          <w:szCs w:val="21"/>
          <w:highlight w:val="none"/>
        </w:rPr>
      </w:pPr>
      <w:bookmarkStart w:id="267" w:name="_Toc224103342"/>
      <w:bookmarkStart w:id="268" w:name="_Toc277082577"/>
      <w:bookmarkStart w:id="269" w:name="_Toc287607771"/>
      <w:bookmarkStart w:id="270" w:name="_Toc200513151"/>
      <w:bookmarkStart w:id="271" w:name="_Toc326274509"/>
      <w:r>
        <w:rPr>
          <w:rFonts w:hint="eastAsia" w:ascii="宋体" w:hAnsi="宋体" w:cs="宋体"/>
          <w:color w:val="auto"/>
          <w:szCs w:val="21"/>
          <w:highlight w:val="none"/>
        </w:rPr>
        <w:t>竞选人随身携带竞选人须知第1.4.1项所有复印件的原件</w:t>
      </w:r>
      <w:r>
        <w:rPr>
          <w:rFonts w:hint="eastAsia" w:ascii="宋体" w:hAnsi="宋体" w:cs="宋体"/>
          <w:snapToGrid w:val="0"/>
          <w:color w:val="auto"/>
          <w:kern w:val="0"/>
          <w:szCs w:val="21"/>
          <w:highlight w:val="none"/>
        </w:rPr>
        <w:t>（除身份证、带二维码的营业执照、带二维码的资质证书、网上截图和已经提供承诺书原件的以外）至开标现场备查</w:t>
      </w:r>
      <w:r>
        <w:rPr>
          <w:rFonts w:hint="eastAsia" w:ascii="宋体" w:hAnsi="宋体" w:cs="宋体"/>
          <w:color w:val="auto"/>
          <w:szCs w:val="21"/>
          <w:highlight w:val="none"/>
        </w:rPr>
        <w:t>。</w:t>
      </w:r>
    </w:p>
    <w:p>
      <w:pPr>
        <w:spacing w:line="440" w:lineRule="exact"/>
        <w:outlineLvl w:val="2"/>
        <w:rPr>
          <w:rFonts w:ascii="宋体" w:hAnsi="宋体" w:cs="宋体"/>
          <w:b/>
          <w:color w:val="auto"/>
          <w:szCs w:val="21"/>
          <w:highlight w:val="none"/>
        </w:rPr>
      </w:pPr>
      <w:bookmarkStart w:id="272" w:name="_Toc430205991"/>
      <w:bookmarkStart w:id="273" w:name="_Toc27652"/>
      <w:r>
        <w:rPr>
          <w:rFonts w:hint="eastAsia" w:ascii="宋体" w:hAnsi="宋体" w:cs="宋体"/>
          <w:b/>
          <w:color w:val="auto"/>
          <w:szCs w:val="21"/>
          <w:highlight w:val="none"/>
        </w:rPr>
        <w:t>3.6  备选比选申请方案</w:t>
      </w:r>
      <w:bookmarkEnd w:id="267"/>
      <w:bookmarkEnd w:id="268"/>
      <w:bookmarkEnd w:id="269"/>
      <w:bookmarkEnd w:id="270"/>
      <w:bookmarkEnd w:id="271"/>
      <w:bookmarkEnd w:id="272"/>
      <w:bookmarkEnd w:id="273"/>
    </w:p>
    <w:p>
      <w:pPr>
        <w:spacing w:line="440" w:lineRule="exact"/>
        <w:ind w:firstLine="420" w:firstLineChars="200"/>
        <w:outlineLvl w:val="2"/>
        <w:rPr>
          <w:rFonts w:ascii="宋体" w:hAnsi="宋体" w:cs="宋体"/>
          <w:color w:val="auto"/>
          <w:szCs w:val="21"/>
          <w:highlight w:val="none"/>
        </w:rPr>
      </w:pPr>
      <w:bookmarkStart w:id="274" w:name="_Toc11688"/>
      <w:bookmarkStart w:id="275" w:name="_Toc430205992"/>
      <w:bookmarkStart w:id="276" w:name="_Toc326274510"/>
      <w:bookmarkStart w:id="277" w:name="_Toc224103343"/>
      <w:bookmarkStart w:id="278" w:name="_Toc287607772"/>
      <w:bookmarkStart w:id="279" w:name="_Toc277082578"/>
      <w:bookmarkStart w:id="280" w:name="_Toc200513152"/>
      <w:r>
        <w:rPr>
          <w:rFonts w:hint="eastAsia" w:ascii="宋体" w:hAnsi="宋体" w:cs="宋体"/>
          <w:color w:val="auto"/>
          <w:szCs w:val="21"/>
          <w:highlight w:val="none"/>
        </w:rPr>
        <w:t>本项目不接受备选比选申请方案。</w:t>
      </w:r>
    </w:p>
    <w:p>
      <w:pPr>
        <w:spacing w:line="440" w:lineRule="exact"/>
        <w:outlineLvl w:val="2"/>
        <w:rPr>
          <w:rFonts w:ascii="宋体" w:hAnsi="宋体" w:cs="宋体"/>
          <w:b/>
          <w:color w:val="auto"/>
          <w:szCs w:val="21"/>
          <w:highlight w:val="none"/>
        </w:rPr>
      </w:pPr>
      <w:r>
        <w:rPr>
          <w:rFonts w:hint="eastAsia" w:ascii="宋体" w:hAnsi="宋体" w:cs="宋体"/>
          <w:b/>
          <w:color w:val="auto"/>
          <w:szCs w:val="21"/>
          <w:highlight w:val="none"/>
        </w:rPr>
        <w:t>3.7  竞选文件的编制</w:t>
      </w:r>
      <w:bookmarkEnd w:id="274"/>
      <w:bookmarkEnd w:id="275"/>
      <w:bookmarkEnd w:id="276"/>
      <w:bookmarkEnd w:id="277"/>
      <w:bookmarkEnd w:id="278"/>
      <w:bookmarkEnd w:id="279"/>
      <w:bookmarkEnd w:id="280"/>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3.7.1  竞选文件应按第八章“竞选文件格式”进行编写，如有必要，可以增加附页，作为竞选文件的组成部分。其中，竞选函附录在满足比选文件实质性要求的基础上，可以提出比比选文件要求更有利于比选人的承诺。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3.7.2  竞选文件应当对竞选文件有关工期、比选申请有效期、质量要求、技术标准和要求、比选范围等实质性内容做出响应。</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3.7.3  竞选文件应用不褪色的材料书写或打印，并由竞选人的法定代表人或其委托代理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3.7.4  竞选文件份数见竞选人须知前附表。竞选文件封面均须加盖比选单位公章（鲜章）。</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3.7.5  竞选文件的应分别装订成册，并编制目录，具体装订要求见竞选人须知前附表规定。</w:t>
      </w:r>
    </w:p>
    <w:p>
      <w:pPr>
        <w:spacing w:line="440" w:lineRule="exact"/>
        <w:outlineLvl w:val="1"/>
        <w:rPr>
          <w:rFonts w:ascii="宋体" w:hAnsi="宋体" w:cs="宋体"/>
          <w:b/>
          <w:color w:val="auto"/>
          <w:szCs w:val="21"/>
          <w:highlight w:val="none"/>
        </w:rPr>
      </w:pPr>
      <w:bookmarkStart w:id="281" w:name="_Toc326274511"/>
      <w:bookmarkStart w:id="282" w:name="_Toc277082579"/>
      <w:bookmarkStart w:id="283" w:name="_Toc9602"/>
      <w:bookmarkStart w:id="284" w:name="_Toc224103344"/>
      <w:bookmarkStart w:id="285" w:name="_Toc287607773"/>
      <w:bookmarkStart w:id="286" w:name="_Toc200513153"/>
      <w:bookmarkStart w:id="287" w:name="_Toc24012"/>
      <w:bookmarkStart w:id="288" w:name="_Toc31883"/>
      <w:bookmarkStart w:id="289" w:name="_Toc430205993"/>
      <w:bookmarkStart w:id="290" w:name="_Toc10410"/>
      <w:bookmarkStart w:id="291" w:name="_Toc9852"/>
      <w:r>
        <w:rPr>
          <w:rFonts w:hint="eastAsia" w:ascii="宋体" w:hAnsi="宋体" w:cs="宋体"/>
          <w:b/>
          <w:color w:val="auto"/>
          <w:szCs w:val="21"/>
          <w:highlight w:val="none"/>
        </w:rPr>
        <w:t xml:space="preserve">4.  </w:t>
      </w:r>
      <w:bookmarkEnd w:id="281"/>
      <w:bookmarkEnd w:id="282"/>
      <w:bookmarkEnd w:id="283"/>
      <w:bookmarkEnd w:id="284"/>
      <w:bookmarkEnd w:id="285"/>
      <w:bookmarkEnd w:id="286"/>
      <w:r>
        <w:rPr>
          <w:rFonts w:hint="eastAsia" w:ascii="宋体" w:hAnsi="宋体" w:cs="宋体"/>
          <w:b/>
          <w:color w:val="auto"/>
          <w:szCs w:val="21"/>
          <w:highlight w:val="none"/>
        </w:rPr>
        <w:t>比选申请</w:t>
      </w:r>
      <w:bookmarkEnd w:id="287"/>
      <w:bookmarkEnd w:id="288"/>
      <w:bookmarkEnd w:id="289"/>
      <w:bookmarkEnd w:id="290"/>
      <w:bookmarkEnd w:id="291"/>
    </w:p>
    <w:p>
      <w:pPr>
        <w:spacing w:line="440" w:lineRule="exact"/>
        <w:outlineLvl w:val="2"/>
        <w:rPr>
          <w:rFonts w:ascii="宋体" w:hAnsi="宋体" w:cs="宋体"/>
          <w:b/>
          <w:color w:val="auto"/>
          <w:szCs w:val="21"/>
          <w:highlight w:val="none"/>
        </w:rPr>
      </w:pPr>
      <w:bookmarkStart w:id="292" w:name="_Toc277082580"/>
      <w:bookmarkStart w:id="293" w:name="_Toc326274512"/>
      <w:bookmarkStart w:id="294" w:name="_Toc224103345"/>
      <w:bookmarkStart w:id="295" w:name="_Toc430205994"/>
      <w:bookmarkStart w:id="296" w:name="_Toc287607774"/>
      <w:bookmarkStart w:id="297" w:name="_Toc200513154"/>
      <w:bookmarkStart w:id="298" w:name="_Toc8083"/>
      <w:r>
        <w:rPr>
          <w:rFonts w:hint="eastAsia" w:ascii="宋体" w:hAnsi="宋体" w:cs="宋体"/>
          <w:b/>
          <w:color w:val="auto"/>
          <w:szCs w:val="21"/>
          <w:highlight w:val="none"/>
        </w:rPr>
        <w:t>4.1  竞选文件的密封和标记</w:t>
      </w:r>
      <w:bookmarkEnd w:id="292"/>
      <w:bookmarkEnd w:id="293"/>
      <w:bookmarkEnd w:id="294"/>
      <w:bookmarkEnd w:id="295"/>
      <w:bookmarkEnd w:id="296"/>
      <w:bookmarkEnd w:id="297"/>
      <w:bookmarkEnd w:id="298"/>
    </w:p>
    <w:p>
      <w:pPr>
        <w:spacing w:line="440" w:lineRule="exact"/>
        <w:ind w:firstLine="420" w:firstLineChars="200"/>
        <w:rPr>
          <w:rFonts w:ascii="宋体" w:hAnsi="宋体" w:cs="宋体"/>
          <w:color w:val="auto"/>
          <w:szCs w:val="21"/>
          <w:highlight w:val="none"/>
        </w:rPr>
      </w:pPr>
      <w:bookmarkStart w:id="299" w:name="_Toc326274513"/>
      <w:bookmarkStart w:id="300" w:name="_Toc200513155"/>
      <w:bookmarkStart w:id="301" w:name="_Toc224103346"/>
      <w:bookmarkStart w:id="302" w:name="_Toc277082581"/>
      <w:bookmarkStart w:id="303" w:name="_Toc287607775"/>
      <w:r>
        <w:rPr>
          <w:rFonts w:hint="eastAsia" w:ascii="宋体" w:hAnsi="宋体" w:cs="宋体"/>
          <w:color w:val="auto"/>
          <w:szCs w:val="21"/>
          <w:highlight w:val="none"/>
        </w:rPr>
        <w:t>4.1.1  竞选文件的密封见竞选人须知前附表。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4.1.2  竞选文件的封套上应写明的内容见竞选人须知前附表。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4.1.3  未按本章第 4.1.1 项或第 4.1.2 项要求密封和加写标记的竞选文件，比选人不予受理。</w:t>
      </w:r>
    </w:p>
    <w:p>
      <w:pPr>
        <w:spacing w:line="440" w:lineRule="exact"/>
        <w:outlineLvl w:val="2"/>
        <w:rPr>
          <w:rFonts w:ascii="宋体" w:hAnsi="宋体" w:cs="宋体"/>
          <w:b/>
          <w:color w:val="auto"/>
          <w:szCs w:val="21"/>
          <w:highlight w:val="none"/>
        </w:rPr>
      </w:pPr>
      <w:bookmarkStart w:id="304" w:name="_Toc1200"/>
      <w:bookmarkStart w:id="305" w:name="_Toc430205995"/>
      <w:r>
        <w:rPr>
          <w:rFonts w:hint="eastAsia" w:ascii="宋体" w:hAnsi="宋体" w:cs="宋体"/>
          <w:b/>
          <w:color w:val="auto"/>
          <w:szCs w:val="21"/>
          <w:highlight w:val="none"/>
        </w:rPr>
        <w:t>4.2  竞选文件的递交</w:t>
      </w:r>
      <w:bookmarkEnd w:id="299"/>
      <w:bookmarkEnd w:id="300"/>
      <w:bookmarkEnd w:id="301"/>
      <w:bookmarkEnd w:id="302"/>
      <w:bookmarkEnd w:id="303"/>
      <w:bookmarkEnd w:id="304"/>
      <w:bookmarkEnd w:id="305"/>
    </w:p>
    <w:p>
      <w:pPr>
        <w:spacing w:line="440" w:lineRule="exact"/>
        <w:ind w:firstLine="420" w:firstLineChars="200"/>
        <w:rPr>
          <w:rFonts w:ascii="宋体" w:hAnsi="宋体" w:cs="宋体"/>
          <w:color w:val="auto"/>
          <w:szCs w:val="21"/>
          <w:highlight w:val="none"/>
        </w:rPr>
      </w:pPr>
      <w:bookmarkStart w:id="306" w:name="_Toc326274514"/>
      <w:bookmarkStart w:id="307" w:name="_Toc224103347"/>
      <w:bookmarkStart w:id="308" w:name="_Toc200513156"/>
      <w:bookmarkStart w:id="309" w:name="_Toc277082582"/>
      <w:bookmarkStart w:id="310" w:name="_Toc287607776"/>
      <w:r>
        <w:rPr>
          <w:rFonts w:hint="eastAsia" w:ascii="宋体" w:hAnsi="宋体" w:cs="宋体"/>
          <w:color w:val="auto"/>
          <w:szCs w:val="21"/>
          <w:highlight w:val="none"/>
        </w:rPr>
        <w:t>4.2.1  竞选人应在本章第 2.2.2 项规定的比选截止时间前递交竞选文件。</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4.2.2  竞选人递交竞选文件的地点：见竞选人须知前附表。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4.2.3  除竞选人须知前附表另有规定外，竞选人所递交的竞选文件不予退还。</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4.2.4  逾期送达的或者未送达指定地点的竞选文件，比选人不予受理。</w:t>
      </w:r>
    </w:p>
    <w:p>
      <w:pPr>
        <w:spacing w:line="440" w:lineRule="exact"/>
        <w:outlineLvl w:val="2"/>
        <w:rPr>
          <w:rFonts w:ascii="宋体" w:hAnsi="宋体" w:cs="宋体"/>
          <w:b/>
          <w:color w:val="auto"/>
          <w:szCs w:val="21"/>
          <w:highlight w:val="none"/>
        </w:rPr>
      </w:pPr>
      <w:bookmarkStart w:id="311" w:name="_Toc13021"/>
      <w:bookmarkStart w:id="312" w:name="_Toc430205996"/>
      <w:r>
        <w:rPr>
          <w:rFonts w:hint="eastAsia" w:ascii="宋体" w:hAnsi="宋体" w:cs="宋体"/>
          <w:b/>
          <w:color w:val="auto"/>
          <w:szCs w:val="21"/>
          <w:highlight w:val="none"/>
        </w:rPr>
        <w:t>4.3  竞选文件的修改与撤回</w:t>
      </w:r>
      <w:bookmarkEnd w:id="306"/>
      <w:bookmarkEnd w:id="307"/>
      <w:bookmarkEnd w:id="308"/>
      <w:bookmarkEnd w:id="309"/>
      <w:bookmarkEnd w:id="310"/>
      <w:bookmarkEnd w:id="311"/>
      <w:bookmarkEnd w:id="312"/>
    </w:p>
    <w:p>
      <w:pPr>
        <w:spacing w:line="440" w:lineRule="exact"/>
        <w:ind w:firstLine="420" w:firstLineChars="200"/>
        <w:rPr>
          <w:rFonts w:ascii="宋体" w:hAnsi="宋体" w:cs="宋体"/>
          <w:color w:val="auto"/>
          <w:szCs w:val="21"/>
          <w:highlight w:val="none"/>
        </w:rPr>
      </w:pPr>
      <w:bookmarkStart w:id="313" w:name="_Toc287607777"/>
      <w:bookmarkStart w:id="314" w:name="_Toc200513157"/>
      <w:bookmarkStart w:id="315" w:name="_Toc326274515"/>
      <w:bookmarkStart w:id="316" w:name="_Toc224103348"/>
      <w:bookmarkStart w:id="317" w:name="_Toc277082583"/>
      <w:r>
        <w:rPr>
          <w:rFonts w:hint="eastAsia" w:ascii="宋体" w:hAnsi="宋体" w:cs="宋体"/>
          <w:color w:val="auto"/>
          <w:szCs w:val="21"/>
          <w:highlight w:val="none"/>
        </w:rPr>
        <w:t>4.3.1  在本章第2.2.2项规定的比选截止时间前，竞选人可以修改或撤回已递交的竞选文件，但应以书面形式通知比选人。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4.3.2  竞选人修改或撤回已递交竞选文件的书面通知应按照本章第3.7.3项的要求签字或盖章。比选人收到书面通知后，向竞选人出具签收凭证。</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4.3.3  修改的内容为竞选文件的组成部分。修改的竞选文件应按照本章第3条、第4条规定进行编制、密封、标记和递交，并标明“修改”字样。</w:t>
      </w:r>
    </w:p>
    <w:p>
      <w:pPr>
        <w:spacing w:line="440" w:lineRule="exact"/>
        <w:outlineLvl w:val="1"/>
        <w:rPr>
          <w:rFonts w:ascii="宋体" w:hAnsi="宋体" w:cs="宋体"/>
          <w:b/>
          <w:color w:val="auto"/>
          <w:szCs w:val="21"/>
          <w:highlight w:val="none"/>
        </w:rPr>
      </w:pPr>
      <w:bookmarkStart w:id="318" w:name="_Toc18812"/>
      <w:bookmarkStart w:id="319" w:name="_Toc430205997"/>
      <w:bookmarkStart w:id="320" w:name="_Toc931"/>
      <w:bookmarkStart w:id="321" w:name="_Toc1432"/>
      <w:bookmarkStart w:id="322" w:name="_Toc10465"/>
      <w:bookmarkStart w:id="323" w:name="_Toc12473"/>
      <w:r>
        <w:rPr>
          <w:rFonts w:hint="eastAsia" w:ascii="宋体" w:hAnsi="宋体" w:cs="宋体"/>
          <w:b/>
          <w:color w:val="auto"/>
          <w:szCs w:val="21"/>
          <w:highlight w:val="none"/>
        </w:rPr>
        <w:t xml:space="preserve">5.  </w:t>
      </w:r>
      <w:bookmarkEnd w:id="313"/>
      <w:bookmarkEnd w:id="314"/>
      <w:bookmarkEnd w:id="315"/>
      <w:bookmarkEnd w:id="316"/>
      <w:bookmarkEnd w:id="317"/>
      <w:bookmarkEnd w:id="318"/>
      <w:r>
        <w:rPr>
          <w:rFonts w:hint="eastAsia" w:ascii="宋体" w:hAnsi="宋体" w:cs="宋体"/>
          <w:b/>
          <w:color w:val="auto"/>
          <w:szCs w:val="21"/>
          <w:highlight w:val="none"/>
        </w:rPr>
        <w:t>开标</w:t>
      </w:r>
      <w:bookmarkEnd w:id="319"/>
      <w:bookmarkEnd w:id="320"/>
      <w:bookmarkEnd w:id="321"/>
      <w:bookmarkEnd w:id="322"/>
      <w:bookmarkEnd w:id="323"/>
    </w:p>
    <w:p>
      <w:pPr>
        <w:spacing w:line="440" w:lineRule="exact"/>
        <w:outlineLvl w:val="2"/>
        <w:rPr>
          <w:rFonts w:ascii="宋体" w:hAnsi="宋体" w:cs="宋体"/>
          <w:b/>
          <w:color w:val="auto"/>
          <w:szCs w:val="21"/>
          <w:highlight w:val="none"/>
        </w:rPr>
      </w:pPr>
      <w:bookmarkStart w:id="324" w:name="_Toc13592"/>
      <w:bookmarkStart w:id="325" w:name="_Toc326274516"/>
      <w:bookmarkStart w:id="326" w:name="_Toc287607778"/>
      <w:bookmarkStart w:id="327" w:name="_Toc200513158"/>
      <w:bookmarkStart w:id="328" w:name="_Toc224103349"/>
      <w:bookmarkStart w:id="329" w:name="_Toc430205998"/>
      <w:bookmarkStart w:id="330" w:name="_Toc277082584"/>
      <w:r>
        <w:rPr>
          <w:rFonts w:hint="eastAsia" w:ascii="宋体" w:hAnsi="宋体" w:cs="宋体"/>
          <w:b/>
          <w:color w:val="auto"/>
          <w:szCs w:val="21"/>
          <w:highlight w:val="none"/>
        </w:rPr>
        <w:t>5.1  开标时间和地点</w:t>
      </w:r>
      <w:bookmarkEnd w:id="324"/>
      <w:bookmarkEnd w:id="325"/>
      <w:bookmarkEnd w:id="326"/>
      <w:bookmarkEnd w:id="327"/>
      <w:bookmarkEnd w:id="328"/>
      <w:bookmarkEnd w:id="329"/>
      <w:bookmarkEnd w:id="330"/>
    </w:p>
    <w:p>
      <w:pPr>
        <w:spacing w:line="440" w:lineRule="exact"/>
        <w:ind w:firstLine="420" w:firstLineChars="200"/>
        <w:rPr>
          <w:rFonts w:ascii="宋体" w:hAnsi="宋体" w:cs="宋体"/>
          <w:color w:val="auto"/>
          <w:szCs w:val="21"/>
          <w:highlight w:val="none"/>
        </w:rPr>
      </w:pPr>
      <w:bookmarkStart w:id="331" w:name="_Toc287607779"/>
      <w:bookmarkStart w:id="332" w:name="_Toc200513159"/>
      <w:bookmarkStart w:id="333" w:name="_Toc277082585"/>
      <w:bookmarkStart w:id="334" w:name="_Toc326274517"/>
      <w:bookmarkStart w:id="335" w:name="_Toc224103350"/>
      <w:r>
        <w:rPr>
          <w:rFonts w:hint="eastAsia" w:ascii="宋体" w:hAnsi="宋体" w:cs="宋体"/>
          <w:color w:val="auto"/>
          <w:szCs w:val="21"/>
          <w:highlight w:val="none"/>
        </w:rPr>
        <w:t>比选人在本章第 2.2.2 项规定的比选截止时间和竞选人须知前附表规定的地点公开比选，并邀请所有竞选人的法定代表人或其委托代理人准时参加。</w:t>
      </w:r>
    </w:p>
    <w:p>
      <w:pPr>
        <w:spacing w:line="440" w:lineRule="exact"/>
        <w:outlineLvl w:val="2"/>
        <w:rPr>
          <w:rFonts w:ascii="宋体" w:hAnsi="宋体" w:cs="宋体"/>
          <w:b/>
          <w:color w:val="auto"/>
          <w:szCs w:val="21"/>
          <w:highlight w:val="none"/>
        </w:rPr>
      </w:pPr>
      <w:bookmarkStart w:id="336" w:name="_Toc430205999"/>
      <w:bookmarkStart w:id="337" w:name="_Toc27403"/>
      <w:r>
        <w:rPr>
          <w:rFonts w:hint="eastAsia" w:ascii="宋体" w:hAnsi="宋体" w:cs="宋体"/>
          <w:b/>
          <w:color w:val="auto"/>
          <w:szCs w:val="21"/>
          <w:highlight w:val="none"/>
        </w:rPr>
        <w:t>5.2  开标程序</w:t>
      </w:r>
      <w:bookmarkEnd w:id="331"/>
      <w:bookmarkEnd w:id="332"/>
      <w:bookmarkEnd w:id="333"/>
      <w:bookmarkEnd w:id="334"/>
      <w:bookmarkEnd w:id="335"/>
      <w:bookmarkEnd w:id="336"/>
      <w:bookmarkEnd w:id="337"/>
    </w:p>
    <w:p>
      <w:pPr>
        <w:spacing w:line="440" w:lineRule="exact"/>
        <w:ind w:firstLine="420" w:firstLineChars="200"/>
        <w:rPr>
          <w:rFonts w:ascii="宋体" w:hAnsi="宋体" w:cs="宋体"/>
          <w:color w:val="auto"/>
          <w:szCs w:val="21"/>
          <w:highlight w:val="none"/>
        </w:rPr>
      </w:pPr>
      <w:bookmarkStart w:id="338" w:name="_Toc277082586"/>
      <w:bookmarkStart w:id="339" w:name="_Toc287607780"/>
      <w:bookmarkStart w:id="340" w:name="_Toc224103351"/>
      <w:bookmarkStart w:id="341" w:name="_Toc200513160"/>
      <w:r>
        <w:rPr>
          <w:rFonts w:hint="eastAsia" w:ascii="宋体" w:hAnsi="宋体" w:cs="宋体"/>
          <w:color w:val="auto"/>
          <w:szCs w:val="21"/>
          <w:highlight w:val="none"/>
        </w:rPr>
        <w:t>主持人按下列程序进行开标：详见竞选人须知前附表。</w:t>
      </w:r>
    </w:p>
    <w:bookmarkEnd w:id="338"/>
    <w:bookmarkEnd w:id="339"/>
    <w:bookmarkEnd w:id="340"/>
    <w:bookmarkEnd w:id="341"/>
    <w:p>
      <w:pPr>
        <w:spacing w:line="440" w:lineRule="exact"/>
        <w:outlineLvl w:val="1"/>
        <w:rPr>
          <w:rFonts w:ascii="宋体" w:hAnsi="宋体" w:cs="宋体"/>
          <w:b/>
          <w:color w:val="auto"/>
          <w:szCs w:val="21"/>
          <w:highlight w:val="none"/>
        </w:rPr>
      </w:pPr>
      <w:bookmarkStart w:id="342" w:name="_Toc10362"/>
      <w:bookmarkStart w:id="343" w:name="_Toc7124"/>
      <w:bookmarkStart w:id="344" w:name="_Toc5900"/>
      <w:bookmarkStart w:id="345" w:name="_Toc4299"/>
      <w:bookmarkStart w:id="346" w:name="_Toc430206000"/>
      <w:bookmarkStart w:id="347" w:name="_Toc24361"/>
      <w:bookmarkStart w:id="348" w:name="_Toc224103360"/>
      <w:bookmarkStart w:id="349" w:name="_Toc287607789"/>
      <w:bookmarkStart w:id="350" w:name="_Toc277082595"/>
      <w:bookmarkStart w:id="351" w:name="_Toc200513169"/>
      <w:bookmarkStart w:id="352" w:name="_Toc326274527"/>
      <w:r>
        <w:rPr>
          <w:rFonts w:hint="eastAsia" w:ascii="宋体" w:hAnsi="宋体" w:cs="宋体"/>
          <w:b/>
          <w:color w:val="auto"/>
          <w:szCs w:val="21"/>
          <w:highlight w:val="none"/>
        </w:rPr>
        <w:t>6.  评审</w:t>
      </w:r>
      <w:bookmarkEnd w:id="342"/>
      <w:bookmarkEnd w:id="343"/>
      <w:bookmarkEnd w:id="344"/>
      <w:bookmarkEnd w:id="345"/>
      <w:bookmarkEnd w:id="346"/>
    </w:p>
    <w:p>
      <w:pPr>
        <w:autoSpaceDE w:val="0"/>
        <w:autoSpaceDN w:val="0"/>
        <w:adjustRightInd w:val="0"/>
        <w:snapToGrid w:val="0"/>
        <w:spacing w:line="440" w:lineRule="exact"/>
        <w:jc w:val="left"/>
        <w:rPr>
          <w:rFonts w:ascii="宋体" w:hAnsi="宋体" w:cs="宋体"/>
          <w:b/>
          <w:bCs/>
          <w:color w:val="auto"/>
          <w:szCs w:val="21"/>
          <w:highlight w:val="none"/>
        </w:rPr>
      </w:pPr>
      <w:bookmarkStart w:id="353" w:name="_Toc430206001"/>
      <w:r>
        <w:rPr>
          <w:rFonts w:hint="eastAsia" w:ascii="宋体" w:hAnsi="宋体" w:cs="宋体"/>
          <w:b/>
          <w:bCs/>
          <w:color w:val="auto"/>
          <w:szCs w:val="21"/>
          <w:highlight w:val="none"/>
        </w:rPr>
        <w:t>6.1  评审委员会</w:t>
      </w:r>
      <w:bookmarkEnd w:id="353"/>
    </w:p>
    <w:p>
      <w:pPr>
        <w:autoSpaceDE w:val="0"/>
        <w:autoSpaceDN w:val="0"/>
        <w:adjustRightInd w:val="0"/>
        <w:snapToGrid w:val="0"/>
        <w:spacing w:line="440" w:lineRule="exact"/>
        <w:ind w:firstLine="420"/>
        <w:rPr>
          <w:rFonts w:ascii="宋体" w:hAnsi="宋体" w:cs="宋体"/>
          <w:snapToGrid w:val="0"/>
          <w:color w:val="auto"/>
          <w:kern w:val="0"/>
          <w:szCs w:val="21"/>
          <w:highlight w:val="none"/>
        </w:rPr>
      </w:pPr>
      <w:bookmarkStart w:id="354" w:name="_Toc200513162"/>
      <w:r>
        <w:rPr>
          <w:rFonts w:hint="eastAsia" w:ascii="宋体" w:hAnsi="宋体" w:cs="宋体"/>
          <w:snapToGrid w:val="0"/>
          <w:color w:val="auto"/>
          <w:kern w:val="0"/>
          <w:szCs w:val="21"/>
          <w:highlight w:val="none"/>
        </w:rPr>
        <w:t>6.1.1  评审由比选人依法组建的评审委员会负责。评审委员会由熟悉相关业务的代表，以及有关技术、经济等方面的专家组成。评审委员会成员人数以及技术、经济等方面专家的确定方式见竞选人须知前附表。</w:t>
      </w:r>
    </w:p>
    <w:p>
      <w:pPr>
        <w:autoSpaceDE w:val="0"/>
        <w:autoSpaceDN w:val="0"/>
        <w:adjustRightInd w:val="0"/>
        <w:snapToGrid w:val="0"/>
        <w:spacing w:line="440" w:lineRule="exact"/>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6.1.2  评审委员会成员有下列情形之一的，应当回避：</w:t>
      </w:r>
    </w:p>
    <w:p>
      <w:pPr>
        <w:autoSpaceDE w:val="0"/>
        <w:autoSpaceDN w:val="0"/>
        <w:adjustRightInd w:val="0"/>
        <w:snapToGrid w:val="0"/>
        <w:spacing w:line="440" w:lineRule="exact"/>
        <w:ind w:left="359" w:leftChars="171"/>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（1）比选人或竞选人的主要负责人的近亲属；</w:t>
      </w:r>
    </w:p>
    <w:p>
      <w:pPr>
        <w:autoSpaceDE w:val="0"/>
        <w:autoSpaceDN w:val="0"/>
        <w:adjustRightInd w:val="0"/>
        <w:snapToGrid w:val="0"/>
        <w:spacing w:line="440" w:lineRule="exact"/>
        <w:ind w:left="359" w:leftChars="171"/>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（2）项目主管部门或者行政监督部门的人员；</w:t>
      </w:r>
    </w:p>
    <w:p>
      <w:pPr>
        <w:autoSpaceDE w:val="0"/>
        <w:autoSpaceDN w:val="0"/>
        <w:adjustRightInd w:val="0"/>
        <w:snapToGrid w:val="0"/>
        <w:spacing w:line="440" w:lineRule="exact"/>
        <w:ind w:left="359" w:leftChars="171"/>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（3）与竞选人有利害关系，可能影响对比选申请公正评审的；</w:t>
      </w:r>
    </w:p>
    <w:p>
      <w:pPr>
        <w:autoSpaceDE w:val="0"/>
        <w:autoSpaceDN w:val="0"/>
        <w:adjustRightInd w:val="0"/>
        <w:snapToGrid w:val="0"/>
        <w:spacing w:line="440" w:lineRule="exact"/>
        <w:ind w:firstLine="363" w:firstLineChars="173"/>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（4）曾因在比选、评审以及其他与比选比选申请有关活动中从事违法行为而受过行政处罚或刑事处罚的。</w:t>
      </w:r>
      <w:bookmarkStart w:id="355" w:name="_Toc421694758"/>
    </w:p>
    <w:p>
      <w:pPr>
        <w:autoSpaceDE w:val="0"/>
        <w:autoSpaceDN w:val="0"/>
        <w:adjustRightInd w:val="0"/>
        <w:snapToGrid w:val="0"/>
        <w:spacing w:line="440" w:lineRule="exact"/>
        <w:jc w:val="left"/>
        <w:rPr>
          <w:rFonts w:ascii="宋体" w:hAnsi="宋体" w:cs="宋体"/>
          <w:b/>
          <w:snapToGrid w:val="0"/>
          <w:color w:val="auto"/>
          <w:kern w:val="0"/>
          <w:szCs w:val="21"/>
          <w:highlight w:val="none"/>
        </w:rPr>
      </w:pPr>
      <w:r>
        <w:rPr>
          <w:rFonts w:hint="eastAsia" w:ascii="宋体" w:hAnsi="宋体" w:cs="宋体"/>
          <w:b/>
          <w:bCs/>
          <w:color w:val="auto"/>
          <w:szCs w:val="21"/>
          <w:highlight w:val="none"/>
        </w:rPr>
        <w:t>6.2  评审原则</w:t>
      </w:r>
      <w:bookmarkEnd w:id="354"/>
      <w:bookmarkEnd w:id="355"/>
    </w:p>
    <w:p>
      <w:pPr>
        <w:autoSpaceDE w:val="0"/>
        <w:autoSpaceDN w:val="0"/>
        <w:adjustRightInd w:val="0"/>
        <w:snapToGrid w:val="0"/>
        <w:spacing w:line="440" w:lineRule="exact"/>
        <w:ind w:firstLine="405"/>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评审活动遵循公平、公正、科学和择优的原则。</w:t>
      </w:r>
      <w:bookmarkStart w:id="356" w:name="_Toc200513163"/>
      <w:bookmarkStart w:id="357" w:name="_Toc421694759"/>
    </w:p>
    <w:p>
      <w:pPr>
        <w:autoSpaceDE w:val="0"/>
        <w:autoSpaceDN w:val="0"/>
        <w:adjustRightInd w:val="0"/>
        <w:snapToGrid w:val="0"/>
        <w:spacing w:line="440" w:lineRule="exact"/>
        <w:jc w:val="left"/>
        <w:rPr>
          <w:rFonts w:ascii="宋体" w:hAnsi="宋体" w:cs="宋体"/>
          <w:b/>
          <w:snapToGrid w:val="0"/>
          <w:color w:val="auto"/>
          <w:kern w:val="0"/>
          <w:szCs w:val="21"/>
          <w:highlight w:val="none"/>
        </w:rPr>
      </w:pPr>
      <w:r>
        <w:rPr>
          <w:rFonts w:hint="eastAsia" w:ascii="宋体" w:hAnsi="宋体" w:cs="宋体"/>
          <w:b/>
          <w:snapToGrid w:val="0"/>
          <w:color w:val="auto"/>
          <w:szCs w:val="21"/>
          <w:highlight w:val="none"/>
        </w:rPr>
        <w:t>6.3  评审</w:t>
      </w:r>
      <w:bookmarkEnd w:id="356"/>
      <w:bookmarkEnd w:id="357"/>
    </w:p>
    <w:p>
      <w:pPr>
        <w:autoSpaceDE w:val="0"/>
        <w:autoSpaceDN w:val="0"/>
        <w:adjustRightInd w:val="0"/>
        <w:snapToGrid w:val="0"/>
        <w:spacing w:line="440" w:lineRule="exact"/>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评审委员会按照第三章“评审办法”规定的方法、评审因素、标准和程序对竞选文件进行评审。第三章“评审办法”没有规定的方法、评审因素和标准，不作为评审依据。</w:t>
      </w:r>
    </w:p>
    <w:p>
      <w:pPr>
        <w:spacing w:line="440" w:lineRule="exact"/>
        <w:outlineLvl w:val="1"/>
        <w:rPr>
          <w:rFonts w:ascii="宋体" w:hAnsi="宋体" w:cs="宋体"/>
          <w:b/>
          <w:color w:val="auto"/>
          <w:szCs w:val="21"/>
          <w:highlight w:val="none"/>
        </w:rPr>
      </w:pPr>
      <w:bookmarkStart w:id="358" w:name="_Toc14655"/>
      <w:bookmarkStart w:id="359" w:name="_Toc6401"/>
      <w:bookmarkStart w:id="360" w:name="_Toc25715"/>
      <w:bookmarkStart w:id="361" w:name="_Toc2170"/>
      <w:bookmarkStart w:id="362" w:name="_Toc430206002"/>
      <w:r>
        <w:rPr>
          <w:rFonts w:hint="eastAsia" w:ascii="宋体" w:hAnsi="宋体" w:cs="宋体"/>
          <w:b/>
          <w:color w:val="auto"/>
          <w:szCs w:val="21"/>
          <w:highlight w:val="none"/>
        </w:rPr>
        <w:t>7.  合同授予</w:t>
      </w:r>
      <w:bookmarkEnd w:id="347"/>
      <w:bookmarkEnd w:id="358"/>
      <w:bookmarkEnd w:id="359"/>
      <w:bookmarkEnd w:id="360"/>
      <w:bookmarkEnd w:id="361"/>
      <w:bookmarkEnd w:id="362"/>
    </w:p>
    <w:p>
      <w:pPr>
        <w:spacing w:line="440" w:lineRule="exact"/>
        <w:outlineLvl w:val="2"/>
        <w:rPr>
          <w:rFonts w:ascii="宋体" w:hAnsi="宋体" w:cs="宋体"/>
          <w:b/>
          <w:color w:val="auto"/>
          <w:szCs w:val="21"/>
          <w:highlight w:val="none"/>
        </w:rPr>
      </w:pPr>
      <w:bookmarkStart w:id="363" w:name="_Toc430206003"/>
      <w:bookmarkStart w:id="364" w:name="_Toc287607785"/>
      <w:bookmarkStart w:id="365" w:name="_Toc200513165"/>
      <w:bookmarkStart w:id="366" w:name="_Toc277082591"/>
      <w:bookmarkStart w:id="367" w:name="_Toc224103356"/>
      <w:bookmarkStart w:id="368" w:name="_Toc30412"/>
      <w:r>
        <w:rPr>
          <w:rFonts w:hint="eastAsia" w:ascii="宋体" w:hAnsi="宋体" w:cs="宋体"/>
          <w:b/>
          <w:color w:val="auto"/>
          <w:szCs w:val="21"/>
          <w:highlight w:val="none"/>
        </w:rPr>
        <w:t>7.1  定标方式</w:t>
      </w:r>
      <w:bookmarkEnd w:id="363"/>
      <w:bookmarkEnd w:id="364"/>
      <w:bookmarkEnd w:id="365"/>
      <w:bookmarkEnd w:id="366"/>
      <w:bookmarkEnd w:id="367"/>
      <w:bookmarkEnd w:id="368"/>
    </w:p>
    <w:p>
      <w:pPr>
        <w:spacing w:line="440" w:lineRule="exact"/>
        <w:ind w:firstLine="420" w:firstLineChars="200"/>
        <w:rPr>
          <w:rFonts w:ascii="宋体" w:hAnsi="宋体" w:cs="宋体"/>
          <w:color w:val="auto"/>
          <w:szCs w:val="21"/>
          <w:highlight w:val="none"/>
        </w:rPr>
      </w:pPr>
      <w:bookmarkStart w:id="369" w:name="_Toc200513166"/>
      <w:bookmarkStart w:id="370" w:name="_Toc2831"/>
      <w:bookmarkStart w:id="371" w:name="_Toc277082592"/>
      <w:bookmarkStart w:id="372" w:name="_Toc224103357"/>
      <w:bookmarkStart w:id="373" w:name="_Toc430206004"/>
      <w:bookmarkStart w:id="374" w:name="_Toc287607786"/>
      <w:r>
        <w:rPr>
          <w:rFonts w:hint="eastAsia" w:ascii="宋体" w:hAnsi="宋体" w:cs="宋体"/>
          <w:color w:val="auto"/>
          <w:szCs w:val="21"/>
          <w:highlight w:val="none"/>
        </w:rPr>
        <w:t>国有资金占控股或者主导地位的依法必须进行比选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审委员会提出的中选候选人名单排序依次确定其他中选候选人为中选人，也可以重新比选。</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评审委员会推荐中选候选人的人数见竞选人须知前附表。</w:t>
      </w:r>
    </w:p>
    <w:p>
      <w:pPr>
        <w:spacing w:line="440" w:lineRule="exact"/>
        <w:outlineLvl w:val="2"/>
        <w:rPr>
          <w:rFonts w:ascii="宋体" w:hAnsi="宋体" w:cs="宋体"/>
          <w:b/>
          <w:color w:val="auto"/>
          <w:szCs w:val="21"/>
          <w:highlight w:val="none"/>
        </w:rPr>
      </w:pPr>
      <w:r>
        <w:rPr>
          <w:rFonts w:hint="eastAsia" w:ascii="宋体" w:hAnsi="宋体" w:cs="宋体"/>
          <w:b/>
          <w:color w:val="auto"/>
          <w:szCs w:val="21"/>
          <w:highlight w:val="none"/>
        </w:rPr>
        <w:t>7.2  中选通知</w:t>
      </w:r>
      <w:bookmarkEnd w:id="369"/>
      <w:bookmarkEnd w:id="370"/>
      <w:bookmarkEnd w:id="371"/>
      <w:bookmarkEnd w:id="372"/>
      <w:bookmarkEnd w:id="373"/>
      <w:bookmarkEnd w:id="374"/>
    </w:p>
    <w:p>
      <w:pPr>
        <w:spacing w:line="440" w:lineRule="exact"/>
        <w:ind w:firstLine="420" w:firstLineChars="200"/>
        <w:rPr>
          <w:rFonts w:ascii="宋体" w:hAnsi="宋体" w:cs="宋体"/>
          <w:color w:val="auto"/>
          <w:szCs w:val="21"/>
          <w:highlight w:val="none"/>
        </w:rPr>
      </w:pPr>
      <w:bookmarkStart w:id="375" w:name="_Toc287607787"/>
      <w:bookmarkStart w:id="376" w:name="_Toc29171"/>
      <w:bookmarkStart w:id="377" w:name="_Toc277082593"/>
      <w:bookmarkStart w:id="378" w:name="_Toc200513167"/>
      <w:bookmarkStart w:id="379" w:name="_Toc224103358"/>
      <w:r>
        <w:rPr>
          <w:rFonts w:hint="eastAsia" w:ascii="宋体" w:hAnsi="宋体" w:cs="宋体"/>
          <w:color w:val="auto"/>
          <w:szCs w:val="21"/>
          <w:highlight w:val="none"/>
        </w:rPr>
        <w:t>比选人在评审结束后三日内将评审委员会推荐的中选候选人在行采家上公示（不少于三个工作日）。公示期间无异议或投诉、异议不成立比选人在公示期结束后五日内按照比选文件规定的定标办法确定中选人。在确定中选人后，比选人签发中选通知书之日起，五个工作日内中选人无正当理由拒不领取中选通知书的将被取消中选资格。</w:t>
      </w:r>
    </w:p>
    <w:p>
      <w:pPr>
        <w:spacing w:line="440" w:lineRule="exact"/>
        <w:outlineLvl w:val="2"/>
        <w:rPr>
          <w:rFonts w:ascii="宋体" w:hAnsi="宋体" w:cs="宋体"/>
          <w:b/>
          <w:color w:val="auto"/>
          <w:szCs w:val="21"/>
          <w:highlight w:val="none"/>
        </w:rPr>
      </w:pPr>
      <w:bookmarkStart w:id="380" w:name="_Toc430206005"/>
      <w:r>
        <w:rPr>
          <w:rFonts w:hint="eastAsia" w:ascii="宋体" w:hAnsi="宋体" w:cs="宋体"/>
          <w:b/>
          <w:color w:val="auto"/>
          <w:szCs w:val="21"/>
          <w:highlight w:val="none"/>
        </w:rPr>
        <w:t>7.3  履约担保</w:t>
      </w:r>
      <w:bookmarkEnd w:id="375"/>
      <w:bookmarkEnd w:id="376"/>
      <w:bookmarkEnd w:id="377"/>
      <w:bookmarkEnd w:id="378"/>
      <w:bookmarkEnd w:id="379"/>
      <w:bookmarkEnd w:id="380"/>
    </w:p>
    <w:p>
      <w:pPr>
        <w:spacing w:line="440" w:lineRule="exact"/>
        <w:ind w:firstLine="420" w:firstLineChars="200"/>
        <w:rPr>
          <w:rFonts w:ascii="宋体" w:hAnsi="宋体" w:cs="宋体"/>
          <w:color w:val="auto"/>
          <w:szCs w:val="21"/>
          <w:highlight w:val="none"/>
        </w:rPr>
      </w:pPr>
      <w:bookmarkStart w:id="381" w:name="_Toc29358"/>
      <w:bookmarkStart w:id="382" w:name="_Toc430206006"/>
      <w:bookmarkStart w:id="383" w:name="_Toc277082594"/>
      <w:bookmarkStart w:id="384" w:name="_Toc200513168"/>
      <w:bookmarkStart w:id="385" w:name="_Toc224103359"/>
      <w:bookmarkStart w:id="386" w:name="_Toc287607788"/>
      <w:r>
        <w:rPr>
          <w:rFonts w:hint="eastAsia" w:ascii="宋体" w:hAnsi="宋体" w:cs="宋体"/>
          <w:color w:val="auto"/>
          <w:szCs w:val="21"/>
          <w:highlight w:val="none"/>
        </w:rPr>
        <w:t>7.3.1在签订合同前，中选人应按竞选人须知前附表规定的金额、担保形式和比选文件第四章“合同条款及格式”规定的履约担保格式向比选人提交履约担保。</w:t>
      </w:r>
    </w:p>
    <w:p>
      <w:pPr>
        <w:spacing w:line="440" w:lineRule="exact"/>
        <w:ind w:firstLine="420" w:firstLineChars="200"/>
        <w:outlineLvl w:val="2"/>
        <w:rPr>
          <w:rFonts w:ascii="宋体" w:hAnsi="宋体" w:cs="宋体"/>
          <w:color w:val="auto"/>
          <w:szCs w:val="21"/>
          <w:highlight w:val="none"/>
        </w:rPr>
      </w:pPr>
      <w:r>
        <w:rPr>
          <w:rFonts w:hint="eastAsia" w:ascii="宋体" w:hAnsi="宋体" w:cs="宋体"/>
          <w:snapToGrid w:val="0"/>
          <w:color w:val="auto"/>
          <w:kern w:val="0"/>
          <w:szCs w:val="21"/>
          <w:highlight w:val="none"/>
        </w:rPr>
        <w:t>7.3.2 中选人不能按本章第 7.3.1 项要求提交履约保证金的，视为放弃中选，其比选保证金不予退还，给比选人造成的损失超过比选保证金数额的，中选人还应当对超过部分予以赔偿。</w:t>
      </w:r>
    </w:p>
    <w:p>
      <w:pPr>
        <w:spacing w:line="440" w:lineRule="exact"/>
        <w:outlineLvl w:val="2"/>
        <w:rPr>
          <w:rFonts w:ascii="宋体" w:hAnsi="宋体" w:cs="宋体"/>
          <w:b/>
          <w:color w:val="auto"/>
          <w:szCs w:val="21"/>
          <w:highlight w:val="none"/>
        </w:rPr>
      </w:pPr>
      <w:r>
        <w:rPr>
          <w:rFonts w:hint="eastAsia" w:ascii="宋体" w:hAnsi="宋体" w:cs="宋体"/>
          <w:b/>
          <w:color w:val="auto"/>
          <w:szCs w:val="21"/>
          <w:highlight w:val="none"/>
        </w:rPr>
        <w:t>7.4  签订合同</w:t>
      </w:r>
      <w:bookmarkEnd w:id="381"/>
      <w:bookmarkEnd w:id="382"/>
      <w:bookmarkEnd w:id="383"/>
      <w:bookmarkEnd w:id="384"/>
      <w:bookmarkEnd w:id="385"/>
      <w:bookmarkEnd w:id="386"/>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7.4.1 比选人和中选人应当自中选通知书发出之日起 15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7.4.2 发出中选通知书后，比选人无正当理由拒签合同的，比选人向中选人退还比选保证金；给中选人造成损失的，还应当赔偿损失。</w:t>
      </w:r>
    </w:p>
    <w:bookmarkEnd w:id="348"/>
    <w:bookmarkEnd w:id="349"/>
    <w:bookmarkEnd w:id="350"/>
    <w:bookmarkEnd w:id="351"/>
    <w:bookmarkEnd w:id="352"/>
    <w:p>
      <w:pPr>
        <w:pStyle w:val="3"/>
        <w:adjustRightInd w:val="0"/>
        <w:snapToGrid w:val="0"/>
        <w:spacing w:before="0" w:after="0" w:line="360" w:lineRule="auto"/>
        <w:rPr>
          <w:rFonts w:ascii="宋体" w:hAnsi="宋体" w:eastAsia="宋体" w:cs="宋体"/>
          <w:snapToGrid w:val="0"/>
          <w:color w:val="auto"/>
          <w:sz w:val="21"/>
          <w:highlight w:val="none"/>
        </w:rPr>
      </w:pPr>
      <w:bookmarkStart w:id="387" w:name="_Toc466913936"/>
      <w:bookmarkStart w:id="388" w:name="_Toc466911518"/>
      <w:bookmarkStart w:id="389" w:name="_Toc528660445"/>
      <w:bookmarkStart w:id="390" w:name="_Toc467689612"/>
      <w:bookmarkStart w:id="391" w:name="_Toc4153"/>
      <w:bookmarkStart w:id="392" w:name="_Toc32235"/>
      <w:bookmarkStart w:id="393" w:name="_Toc26966"/>
      <w:bookmarkStart w:id="394" w:name="_Toc430206010"/>
      <w:bookmarkStart w:id="395" w:name="_Toc12899"/>
      <w:bookmarkStart w:id="396" w:name="_Toc22298"/>
      <w:bookmarkStart w:id="397" w:name="_Toc224103363"/>
      <w:bookmarkStart w:id="398" w:name="_Toc277082598"/>
      <w:bookmarkStart w:id="399" w:name="_Toc287607792"/>
      <w:bookmarkStart w:id="400" w:name="_Toc200513172"/>
      <w:r>
        <w:rPr>
          <w:rFonts w:hint="eastAsia" w:ascii="宋体" w:hAnsi="宋体" w:eastAsia="宋体" w:cs="宋体"/>
          <w:snapToGrid w:val="0"/>
          <w:color w:val="auto"/>
          <w:sz w:val="21"/>
          <w:highlight w:val="none"/>
        </w:rPr>
        <w:t>8.重新比选和不再</w:t>
      </w:r>
      <w:bookmarkEnd w:id="387"/>
      <w:bookmarkEnd w:id="388"/>
      <w:bookmarkEnd w:id="389"/>
      <w:bookmarkEnd w:id="390"/>
      <w:r>
        <w:rPr>
          <w:rFonts w:hint="eastAsia" w:ascii="宋体" w:hAnsi="宋体" w:eastAsia="宋体" w:cs="宋体"/>
          <w:snapToGrid w:val="0"/>
          <w:color w:val="auto"/>
          <w:sz w:val="21"/>
          <w:highlight w:val="none"/>
        </w:rPr>
        <w:t>比选</w:t>
      </w:r>
      <w:bookmarkEnd w:id="391"/>
    </w:p>
    <w:p>
      <w:pPr>
        <w:widowControl/>
        <w:adjustRightInd w:val="0"/>
        <w:snapToGrid w:val="0"/>
        <w:spacing w:line="360" w:lineRule="auto"/>
        <w:rPr>
          <w:rFonts w:ascii="宋体" w:hAnsi="宋体" w:cs="宋体"/>
          <w:b/>
          <w:color w:val="auto"/>
          <w:kern w:val="0"/>
          <w:szCs w:val="21"/>
          <w:highlight w:val="none"/>
        </w:rPr>
      </w:pPr>
      <w:bookmarkStart w:id="401" w:name="_Toc336680037"/>
      <w:bookmarkStart w:id="402" w:name="_Toc200513170"/>
      <w:r>
        <w:rPr>
          <w:rFonts w:hint="eastAsia" w:ascii="宋体" w:hAnsi="宋体" w:cs="宋体"/>
          <w:b/>
          <w:color w:val="auto"/>
          <w:kern w:val="0"/>
          <w:szCs w:val="21"/>
          <w:highlight w:val="none"/>
        </w:rPr>
        <w:t>8.1  重新</w:t>
      </w:r>
      <w:bookmarkEnd w:id="401"/>
      <w:bookmarkEnd w:id="402"/>
      <w:r>
        <w:rPr>
          <w:rFonts w:hint="eastAsia" w:ascii="宋体" w:hAnsi="宋体" w:cs="宋体"/>
          <w:b/>
          <w:color w:val="auto"/>
          <w:kern w:val="0"/>
          <w:szCs w:val="21"/>
          <w:highlight w:val="none"/>
        </w:rPr>
        <w:t>比选</w:t>
      </w:r>
    </w:p>
    <w:p>
      <w:pPr>
        <w:autoSpaceDE w:val="0"/>
        <w:autoSpaceDN w:val="0"/>
        <w:adjustRightInd w:val="0"/>
        <w:snapToGrid w:val="0"/>
        <w:spacing w:line="360" w:lineRule="auto"/>
        <w:ind w:firstLine="420" w:firstLineChars="200"/>
        <w:rPr>
          <w:rFonts w:ascii="宋体" w:hAnsi="宋体" w:cs="宋体"/>
          <w:snapToGrid w:val="0"/>
          <w:color w:val="auto"/>
          <w:kern w:val="0"/>
          <w:szCs w:val="20"/>
          <w:highlight w:val="none"/>
        </w:rPr>
      </w:pPr>
      <w:r>
        <w:rPr>
          <w:rFonts w:hint="eastAsia" w:ascii="宋体" w:hAnsi="宋体" w:cs="宋体"/>
          <w:snapToGrid w:val="0"/>
          <w:color w:val="auto"/>
          <w:kern w:val="0"/>
          <w:szCs w:val="20"/>
          <w:highlight w:val="none"/>
        </w:rPr>
        <w:t>有下列情形之一的，比选人将重新比选：</w:t>
      </w:r>
    </w:p>
    <w:p>
      <w:pPr>
        <w:autoSpaceDE w:val="0"/>
        <w:autoSpaceDN w:val="0"/>
        <w:adjustRightInd w:val="0"/>
        <w:snapToGrid w:val="0"/>
        <w:spacing w:line="360" w:lineRule="auto"/>
        <w:ind w:firstLine="420" w:firstLineChars="200"/>
        <w:rPr>
          <w:rFonts w:ascii="宋体" w:hAnsi="宋体" w:cs="宋体"/>
          <w:snapToGrid w:val="0"/>
          <w:color w:val="auto"/>
          <w:kern w:val="0"/>
          <w:szCs w:val="20"/>
          <w:highlight w:val="none"/>
        </w:rPr>
      </w:pPr>
      <w:r>
        <w:rPr>
          <w:rFonts w:hint="eastAsia" w:ascii="宋体" w:hAnsi="宋体" w:cs="宋体"/>
          <w:snapToGrid w:val="0"/>
          <w:color w:val="auto"/>
          <w:kern w:val="0"/>
          <w:szCs w:val="20"/>
          <w:highlight w:val="none"/>
        </w:rPr>
        <w:t>（1）比选截止时间止，竞选人少于 3 个的；</w:t>
      </w:r>
    </w:p>
    <w:p>
      <w:pPr>
        <w:autoSpaceDE w:val="0"/>
        <w:autoSpaceDN w:val="0"/>
        <w:adjustRightInd w:val="0"/>
        <w:snapToGrid w:val="0"/>
        <w:spacing w:line="360" w:lineRule="auto"/>
        <w:ind w:firstLine="420" w:firstLineChars="200"/>
        <w:rPr>
          <w:rFonts w:ascii="宋体" w:hAnsi="宋体" w:cs="宋体"/>
          <w:snapToGrid w:val="0"/>
          <w:color w:val="auto"/>
          <w:kern w:val="0"/>
          <w:szCs w:val="20"/>
          <w:highlight w:val="none"/>
        </w:rPr>
      </w:pPr>
      <w:r>
        <w:rPr>
          <w:rFonts w:hint="eastAsia" w:ascii="宋体" w:hAnsi="宋体" w:cs="宋体"/>
          <w:snapToGrid w:val="0"/>
          <w:color w:val="auto"/>
          <w:kern w:val="0"/>
          <w:szCs w:val="20"/>
          <w:highlight w:val="none"/>
        </w:rPr>
        <w:t>（2）经评标委员会评审后否决所有投标的。</w:t>
      </w:r>
    </w:p>
    <w:p>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0"/>
          <w:highlight w:val="none"/>
        </w:rPr>
        <w:t>（3）</w:t>
      </w:r>
      <w:r>
        <w:rPr>
          <w:rFonts w:hint="eastAsia" w:ascii="宋体" w:hAnsi="宋体" w:cs="宋体"/>
          <w:color w:val="auto"/>
          <w:szCs w:val="21"/>
          <w:highlight w:val="none"/>
        </w:rPr>
        <w:t>经评审后，如合格的竞选人少于三个的，且明显缺乏竞争的，评标委员会可以否决全部投标，比选人将重新组织招标。</w:t>
      </w:r>
    </w:p>
    <w:p>
      <w:pPr>
        <w:autoSpaceDE w:val="0"/>
        <w:autoSpaceDN w:val="0"/>
        <w:adjustRightInd w:val="0"/>
        <w:snapToGrid w:val="0"/>
        <w:spacing w:line="360" w:lineRule="auto"/>
        <w:ind w:firstLine="420" w:firstLineChars="200"/>
        <w:rPr>
          <w:rFonts w:ascii="宋体" w:hAnsi="宋体" w:cs="宋体"/>
          <w:snapToGrid w:val="0"/>
          <w:color w:val="auto"/>
          <w:kern w:val="0"/>
          <w:szCs w:val="20"/>
          <w:highlight w:val="none"/>
        </w:rPr>
      </w:pPr>
      <w:r>
        <w:rPr>
          <w:rFonts w:hint="eastAsia" w:ascii="宋体" w:hAnsi="宋体" w:cs="宋体"/>
          <w:snapToGrid w:val="0"/>
          <w:color w:val="auto"/>
          <w:kern w:val="0"/>
          <w:szCs w:val="20"/>
          <w:highlight w:val="none"/>
        </w:rPr>
        <w:t>（4）法律法规规定的其他情形。</w:t>
      </w:r>
    </w:p>
    <w:p>
      <w:pPr>
        <w:widowControl/>
        <w:adjustRightInd w:val="0"/>
        <w:snapToGrid w:val="0"/>
        <w:spacing w:line="360" w:lineRule="auto"/>
        <w:rPr>
          <w:rFonts w:ascii="宋体" w:hAnsi="宋体" w:cs="宋体"/>
          <w:b/>
          <w:color w:val="auto"/>
          <w:kern w:val="0"/>
          <w:szCs w:val="21"/>
          <w:highlight w:val="none"/>
        </w:rPr>
      </w:pPr>
      <w:bookmarkStart w:id="403" w:name="_Toc336680038"/>
      <w:bookmarkStart w:id="404" w:name="_Toc200513171"/>
      <w:r>
        <w:rPr>
          <w:rFonts w:hint="eastAsia" w:ascii="宋体" w:hAnsi="宋体" w:cs="宋体"/>
          <w:b/>
          <w:color w:val="auto"/>
          <w:kern w:val="0"/>
          <w:szCs w:val="21"/>
          <w:highlight w:val="none"/>
        </w:rPr>
        <w:t xml:space="preserve">8.2  </w:t>
      </w:r>
      <w:bookmarkEnd w:id="403"/>
      <w:bookmarkEnd w:id="404"/>
      <w:r>
        <w:rPr>
          <w:rFonts w:hint="eastAsia" w:ascii="宋体" w:hAnsi="宋体" w:cs="宋体"/>
          <w:b/>
          <w:color w:val="auto"/>
          <w:kern w:val="0"/>
          <w:szCs w:val="21"/>
          <w:highlight w:val="none"/>
        </w:rPr>
        <w:t>二次比选和不再比选</w:t>
      </w:r>
    </w:p>
    <w:p>
      <w:pPr>
        <w:autoSpaceDE w:val="0"/>
        <w:autoSpaceDN w:val="0"/>
        <w:adjustRightInd w:val="0"/>
        <w:snapToGrid w:val="0"/>
        <w:spacing w:line="360" w:lineRule="auto"/>
        <w:ind w:firstLine="420" w:firstLineChars="200"/>
        <w:rPr>
          <w:rFonts w:ascii="宋体" w:hAnsi="宋体" w:cs="宋体"/>
          <w:snapToGrid w:val="0"/>
          <w:color w:val="auto"/>
          <w:kern w:val="0"/>
          <w:szCs w:val="20"/>
          <w:highlight w:val="none"/>
        </w:rPr>
      </w:pPr>
      <w:r>
        <w:rPr>
          <w:rFonts w:hint="eastAsia" w:ascii="宋体" w:hAnsi="宋体" w:cs="宋体"/>
          <w:snapToGrid w:val="0"/>
          <w:color w:val="auto"/>
          <w:kern w:val="0"/>
          <w:szCs w:val="20"/>
          <w:highlight w:val="none"/>
        </w:rPr>
        <w:t>重新比选后竞选人仍少于3个，按法定程序开标和评标，确定中选人。经评审无合格竞选人，属于必须审批或核准的工程建设项目，经原审批或核准部门批准后不再进行比选。</w:t>
      </w:r>
    </w:p>
    <w:p>
      <w:pPr>
        <w:spacing w:line="440" w:lineRule="exact"/>
        <w:outlineLvl w:val="1"/>
        <w:rPr>
          <w:rFonts w:ascii="宋体" w:hAnsi="宋体" w:cs="宋体"/>
          <w:b/>
          <w:color w:val="auto"/>
          <w:szCs w:val="21"/>
          <w:highlight w:val="none"/>
        </w:rPr>
      </w:pPr>
      <w:bookmarkStart w:id="405" w:name="_Toc23369"/>
      <w:r>
        <w:rPr>
          <w:rFonts w:hint="eastAsia" w:ascii="宋体" w:hAnsi="宋体" w:cs="宋体"/>
          <w:b/>
          <w:color w:val="auto"/>
          <w:szCs w:val="21"/>
          <w:highlight w:val="none"/>
        </w:rPr>
        <w:t>9.  纪律和监督</w:t>
      </w:r>
      <w:bookmarkEnd w:id="392"/>
      <w:bookmarkEnd w:id="393"/>
      <w:bookmarkEnd w:id="394"/>
      <w:bookmarkEnd w:id="395"/>
      <w:bookmarkEnd w:id="396"/>
      <w:bookmarkEnd w:id="397"/>
      <w:bookmarkEnd w:id="398"/>
      <w:bookmarkEnd w:id="399"/>
      <w:bookmarkEnd w:id="400"/>
      <w:bookmarkEnd w:id="405"/>
    </w:p>
    <w:p>
      <w:pPr>
        <w:spacing w:line="440" w:lineRule="exact"/>
        <w:outlineLvl w:val="2"/>
        <w:rPr>
          <w:rFonts w:ascii="宋体" w:hAnsi="宋体" w:cs="宋体"/>
          <w:b/>
          <w:color w:val="auto"/>
          <w:szCs w:val="21"/>
          <w:highlight w:val="none"/>
        </w:rPr>
      </w:pPr>
      <w:bookmarkStart w:id="406" w:name="_Toc287607793"/>
      <w:bookmarkStart w:id="407" w:name="_Toc224103364"/>
      <w:bookmarkStart w:id="408" w:name="_Toc200513173"/>
      <w:bookmarkStart w:id="409" w:name="_Toc277082599"/>
      <w:bookmarkStart w:id="410" w:name="_Toc430206011"/>
      <w:bookmarkStart w:id="411" w:name="_Toc4928"/>
      <w:r>
        <w:rPr>
          <w:rFonts w:hint="eastAsia" w:ascii="宋体" w:hAnsi="宋体" w:cs="宋体"/>
          <w:b/>
          <w:color w:val="auto"/>
          <w:szCs w:val="21"/>
          <w:highlight w:val="none"/>
        </w:rPr>
        <w:t xml:space="preserve">9.1  </w:t>
      </w:r>
      <w:bookmarkEnd w:id="406"/>
      <w:bookmarkEnd w:id="407"/>
      <w:bookmarkEnd w:id="408"/>
      <w:bookmarkEnd w:id="409"/>
      <w:r>
        <w:rPr>
          <w:rFonts w:hint="eastAsia" w:ascii="宋体" w:hAnsi="宋体" w:cs="宋体"/>
          <w:b/>
          <w:color w:val="auto"/>
          <w:szCs w:val="21"/>
          <w:highlight w:val="none"/>
        </w:rPr>
        <w:t>对比选人的纪律要求</w:t>
      </w:r>
      <w:bookmarkEnd w:id="410"/>
      <w:bookmarkEnd w:id="411"/>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比选人不得泄漏比选申请活动中应当保密的情况和资料，不得与竞选人串通损害国家利益、社会公共利益或者他人合法权益，禁止比选人与竞选人串通比选申请。</w:t>
      </w:r>
      <w:r>
        <w:rPr>
          <w:rFonts w:hint="eastAsia" w:ascii="宋体" w:hAnsi="宋体" w:cs="宋体"/>
          <w:color w:val="auto"/>
          <w:szCs w:val="21"/>
          <w:highlight w:val="none"/>
        </w:rPr>
        <w:br w:type="textWrapping"/>
      </w:r>
      <w:r>
        <w:rPr>
          <w:rFonts w:hint="eastAsia" w:ascii="宋体" w:hAnsi="宋体" w:cs="宋体"/>
          <w:color w:val="auto"/>
          <w:szCs w:val="21"/>
          <w:highlight w:val="none"/>
        </w:rPr>
        <w:t>     有下列情形之一的，属于比选人与竞选人串通比选申请：</w:t>
      </w:r>
      <w:r>
        <w:rPr>
          <w:rFonts w:hint="eastAsia" w:ascii="宋体" w:hAnsi="宋体" w:cs="宋体"/>
          <w:color w:val="auto"/>
          <w:szCs w:val="21"/>
          <w:highlight w:val="none"/>
        </w:rPr>
        <w:br w:type="textWrapping"/>
      </w:r>
      <w:r>
        <w:rPr>
          <w:rFonts w:hint="eastAsia" w:ascii="宋体" w:hAnsi="宋体" w:cs="宋体"/>
          <w:color w:val="auto"/>
          <w:szCs w:val="21"/>
          <w:highlight w:val="none"/>
        </w:rPr>
        <w:t>    （1）比选人在开标前开启竞选文件并将有关信息泄露给其他竞选人;</w:t>
      </w:r>
      <w:r>
        <w:rPr>
          <w:rFonts w:hint="eastAsia" w:ascii="宋体" w:hAnsi="宋体" w:cs="宋体"/>
          <w:color w:val="auto"/>
          <w:szCs w:val="21"/>
          <w:highlight w:val="none"/>
        </w:rPr>
        <w:br w:type="textWrapping"/>
      </w:r>
      <w:r>
        <w:rPr>
          <w:rFonts w:hint="eastAsia" w:ascii="宋体" w:hAnsi="宋体" w:cs="宋体"/>
          <w:color w:val="auto"/>
          <w:szCs w:val="21"/>
          <w:highlight w:val="none"/>
        </w:rPr>
        <w:t>    （2）比选人直接或者间接向竞选人泄露标底、评审委员会成员等信息；</w:t>
      </w:r>
      <w:r>
        <w:rPr>
          <w:rFonts w:hint="eastAsia" w:ascii="宋体" w:hAnsi="宋体" w:cs="宋体"/>
          <w:color w:val="auto"/>
          <w:szCs w:val="21"/>
          <w:highlight w:val="none"/>
        </w:rPr>
        <w:br w:type="textWrapping"/>
      </w:r>
      <w:r>
        <w:rPr>
          <w:rFonts w:hint="eastAsia" w:ascii="宋体" w:hAnsi="宋体" w:cs="宋体"/>
          <w:color w:val="auto"/>
          <w:szCs w:val="21"/>
          <w:highlight w:val="none"/>
        </w:rPr>
        <w:t>    （3）比选人明示或者暗示竞选人压低或者抬高竞选报价；</w:t>
      </w:r>
      <w:r>
        <w:rPr>
          <w:rFonts w:hint="eastAsia" w:ascii="宋体" w:hAnsi="宋体" w:cs="宋体"/>
          <w:color w:val="auto"/>
          <w:szCs w:val="21"/>
          <w:highlight w:val="none"/>
        </w:rPr>
        <w:br w:type="textWrapping"/>
      </w:r>
      <w:r>
        <w:rPr>
          <w:rFonts w:hint="eastAsia" w:ascii="宋体" w:hAnsi="宋体" w:cs="宋体"/>
          <w:color w:val="auto"/>
          <w:szCs w:val="21"/>
          <w:highlight w:val="none"/>
        </w:rPr>
        <w:t>    （4）比选人授意竞选人撤换、修改竞选文件；</w:t>
      </w:r>
      <w:r>
        <w:rPr>
          <w:rFonts w:hint="eastAsia" w:ascii="宋体" w:hAnsi="宋体" w:cs="宋体"/>
          <w:color w:val="auto"/>
          <w:szCs w:val="21"/>
          <w:highlight w:val="none"/>
        </w:rPr>
        <w:br w:type="textWrapping"/>
      </w:r>
      <w:r>
        <w:rPr>
          <w:rFonts w:hint="eastAsia" w:ascii="宋体" w:hAnsi="宋体" w:cs="宋体"/>
          <w:color w:val="auto"/>
          <w:szCs w:val="21"/>
          <w:highlight w:val="none"/>
        </w:rPr>
        <w:t>    （5）比选人明示或者暗示竞选人为特定竞选人中选提供方便；</w:t>
      </w:r>
      <w:r>
        <w:rPr>
          <w:rFonts w:hint="eastAsia" w:ascii="宋体" w:hAnsi="宋体" w:cs="宋体"/>
          <w:color w:val="auto"/>
          <w:szCs w:val="21"/>
          <w:highlight w:val="none"/>
        </w:rPr>
        <w:br w:type="textWrapping"/>
      </w:r>
      <w:r>
        <w:rPr>
          <w:rFonts w:hint="eastAsia" w:ascii="宋体" w:hAnsi="宋体" w:cs="宋体"/>
          <w:color w:val="auto"/>
          <w:szCs w:val="21"/>
          <w:highlight w:val="none"/>
        </w:rPr>
        <w:t>    （6）比选人与竞选人为谋求特定竞选人中选而采取的其他串通行为。</w:t>
      </w:r>
    </w:p>
    <w:p>
      <w:pPr>
        <w:spacing w:line="440" w:lineRule="exact"/>
        <w:outlineLvl w:val="2"/>
        <w:rPr>
          <w:rFonts w:ascii="宋体" w:hAnsi="宋体" w:cs="宋体"/>
          <w:b/>
          <w:color w:val="auto"/>
          <w:szCs w:val="21"/>
          <w:highlight w:val="none"/>
        </w:rPr>
      </w:pPr>
      <w:bookmarkStart w:id="412" w:name="_Toc287607794"/>
      <w:bookmarkStart w:id="413" w:name="_Toc277082600"/>
      <w:bookmarkStart w:id="414" w:name="_Toc224103365"/>
      <w:bookmarkStart w:id="415" w:name="_Toc200513174"/>
      <w:bookmarkStart w:id="416" w:name="_Toc27998"/>
      <w:bookmarkStart w:id="417" w:name="_Toc430206012"/>
      <w:r>
        <w:rPr>
          <w:rFonts w:hint="eastAsia" w:ascii="宋体" w:hAnsi="宋体" w:cs="宋体"/>
          <w:b/>
          <w:color w:val="auto"/>
          <w:szCs w:val="21"/>
          <w:highlight w:val="none"/>
        </w:rPr>
        <w:t xml:space="preserve">9.2  </w:t>
      </w:r>
      <w:bookmarkEnd w:id="412"/>
      <w:bookmarkEnd w:id="413"/>
      <w:bookmarkEnd w:id="414"/>
      <w:bookmarkEnd w:id="415"/>
      <w:r>
        <w:rPr>
          <w:rFonts w:hint="eastAsia" w:ascii="宋体" w:hAnsi="宋体" w:cs="宋体"/>
          <w:b/>
          <w:color w:val="auto"/>
          <w:szCs w:val="21"/>
          <w:highlight w:val="none"/>
        </w:rPr>
        <w:t>对竞选人的纪律要求</w:t>
      </w:r>
      <w:bookmarkEnd w:id="416"/>
      <w:bookmarkEnd w:id="417"/>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人不得相互串通比选申请或者与比选人串通比选申请，不得向竞选人或者评审委员会成员行贿谋取中选，不得以他人名义比选申请或者以其他方式弄虚作假骗取中选；竞选人不得以任何方式干扰、影响评审工作。</w:t>
      </w:r>
      <w:r>
        <w:rPr>
          <w:rFonts w:hint="eastAsia" w:ascii="宋体" w:hAnsi="宋体" w:cs="宋体"/>
          <w:color w:val="auto"/>
          <w:szCs w:val="21"/>
          <w:highlight w:val="none"/>
        </w:rPr>
        <w:br w:type="textWrapping"/>
      </w:r>
      <w:r>
        <w:rPr>
          <w:rFonts w:hint="eastAsia" w:ascii="宋体" w:hAnsi="宋体" w:cs="宋体"/>
          <w:color w:val="auto"/>
          <w:szCs w:val="21"/>
          <w:highlight w:val="none"/>
        </w:rPr>
        <w:t>     有下列情形之一的，属于竞选人相互串通比选申请：</w:t>
      </w:r>
      <w:r>
        <w:rPr>
          <w:rFonts w:hint="eastAsia" w:ascii="宋体" w:hAnsi="宋体" w:cs="宋体"/>
          <w:color w:val="auto"/>
          <w:szCs w:val="21"/>
          <w:highlight w:val="none"/>
        </w:rPr>
        <w:br w:type="textWrapping"/>
      </w:r>
      <w:r>
        <w:rPr>
          <w:rFonts w:hint="eastAsia" w:ascii="宋体" w:hAnsi="宋体" w:cs="宋体"/>
          <w:color w:val="auto"/>
          <w:szCs w:val="21"/>
          <w:highlight w:val="none"/>
        </w:rPr>
        <w:t>    （1）竞选人之间协商竞选报价等竞选文件的实质性内容；</w:t>
      </w:r>
      <w:r>
        <w:rPr>
          <w:rFonts w:hint="eastAsia" w:ascii="宋体" w:hAnsi="宋体" w:cs="宋体"/>
          <w:color w:val="auto"/>
          <w:szCs w:val="21"/>
          <w:highlight w:val="none"/>
        </w:rPr>
        <w:br w:type="textWrapping"/>
      </w:r>
      <w:r>
        <w:rPr>
          <w:rFonts w:hint="eastAsia" w:ascii="宋体" w:hAnsi="宋体" w:cs="宋体"/>
          <w:color w:val="auto"/>
          <w:szCs w:val="21"/>
          <w:highlight w:val="none"/>
        </w:rPr>
        <w:t>    （2）竞选人之间约定中选人；</w:t>
      </w:r>
      <w:r>
        <w:rPr>
          <w:rFonts w:hint="eastAsia" w:ascii="宋体" w:hAnsi="宋体" w:cs="宋体"/>
          <w:color w:val="auto"/>
          <w:szCs w:val="21"/>
          <w:highlight w:val="none"/>
        </w:rPr>
        <w:br w:type="textWrapping"/>
      </w:r>
      <w:r>
        <w:rPr>
          <w:rFonts w:hint="eastAsia" w:ascii="宋体" w:hAnsi="宋体" w:cs="宋体"/>
          <w:color w:val="auto"/>
          <w:szCs w:val="21"/>
          <w:highlight w:val="none"/>
        </w:rPr>
        <w:t>    （3）竞选人之间约定部分竞选人放弃比选申请或者中选；</w:t>
      </w:r>
      <w:r>
        <w:rPr>
          <w:rFonts w:hint="eastAsia" w:ascii="宋体" w:hAnsi="宋体" w:cs="宋体"/>
          <w:color w:val="auto"/>
          <w:szCs w:val="21"/>
          <w:highlight w:val="none"/>
        </w:rPr>
        <w:br w:type="textWrapping"/>
      </w:r>
      <w:r>
        <w:rPr>
          <w:rFonts w:hint="eastAsia" w:ascii="宋体" w:hAnsi="宋体" w:cs="宋体"/>
          <w:color w:val="auto"/>
          <w:szCs w:val="21"/>
          <w:highlight w:val="none"/>
        </w:rPr>
        <w:t>    （4）属于同一集团、协会、商会等组织成员的竞选人按照该组织要求协同比选申请；</w:t>
      </w:r>
      <w:r>
        <w:rPr>
          <w:rFonts w:hint="eastAsia" w:ascii="宋体" w:hAnsi="宋体" w:cs="宋体"/>
          <w:color w:val="auto"/>
          <w:szCs w:val="21"/>
          <w:highlight w:val="none"/>
        </w:rPr>
        <w:br w:type="textWrapping"/>
      </w:r>
      <w:r>
        <w:rPr>
          <w:rFonts w:hint="eastAsia" w:ascii="宋体" w:hAnsi="宋体" w:cs="宋体"/>
          <w:color w:val="auto"/>
          <w:szCs w:val="21"/>
          <w:highlight w:val="none"/>
        </w:rPr>
        <w:t>    （5）竞选人之间为谋取中选或者排斥特定竞选人而采取的其他联合行动。</w:t>
      </w:r>
      <w:r>
        <w:rPr>
          <w:rFonts w:hint="eastAsia" w:ascii="宋体" w:hAnsi="宋体" w:cs="宋体"/>
          <w:color w:val="auto"/>
          <w:szCs w:val="21"/>
          <w:highlight w:val="none"/>
        </w:rPr>
        <w:br w:type="textWrapping"/>
      </w:r>
      <w:r>
        <w:rPr>
          <w:rFonts w:hint="eastAsia" w:ascii="宋体" w:hAnsi="宋体" w:cs="宋体"/>
          <w:color w:val="auto"/>
          <w:szCs w:val="21"/>
          <w:highlight w:val="none"/>
        </w:rPr>
        <w:t>    有下列情形之一的，视为竞选人相互串通比选申请：</w:t>
      </w:r>
      <w:r>
        <w:rPr>
          <w:rFonts w:hint="eastAsia" w:ascii="宋体" w:hAnsi="宋体" w:cs="宋体"/>
          <w:color w:val="auto"/>
          <w:szCs w:val="21"/>
          <w:highlight w:val="none"/>
        </w:rPr>
        <w:br w:type="textWrapping"/>
      </w:r>
      <w:r>
        <w:rPr>
          <w:rFonts w:hint="eastAsia" w:ascii="宋体" w:hAnsi="宋体" w:cs="宋体"/>
          <w:color w:val="auto"/>
          <w:szCs w:val="21"/>
          <w:highlight w:val="none"/>
        </w:rPr>
        <w:t>    （1）不同竞选人的竞选文件由同一单位或者个人编制；</w:t>
      </w:r>
      <w:r>
        <w:rPr>
          <w:rFonts w:hint="eastAsia" w:ascii="宋体" w:hAnsi="宋体" w:cs="宋体"/>
          <w:color w:val="auto"/>
          <w:szCs w:val="21"/>
          <w:highlight w:val="none"/>
        </w:rPr>
        <w:br w:type="textWrapping"/>
      </w:r>
      <w:r>
        <w:rPr>
          <w:rFonts w:hint="eastAsia" w:ascii="宋体" w:hAnsi="宋体" w:cs="宋体"/>
          <w:color w:val="auto"/>
          <w:szCs w:val="21"/>
          <w:highlight w:val="none"/>
        </w:rPr>
        <w:t>    （2）不同竞选人委托同一单位或者个人办理比选申请事宜；</w:t>
      </w:r>
      <w:r>
        <w:rPr>
          <w:rFonts w:hint="eastAsia" w:ascii="宋体" w:hAnsi="宋体" w:cs="宋体"/>
          <w:color w:val="auto"/>
          <w:szCs w:val="21"/>
          <w:highlight w:val="none"/>
        </w:rPr>
        <w:br w:type="textWrapping"/>
      </w:r>
      <w:r>
        <w:rPr>
          <w:rFonts w:hint="eastAsia" w:ascii="宋体" w:hAnsi="宋体" w:cs="宋体"/>
          <w:color w:val="auto"/>
          <w:szCs w:val="21"/>
          <w:highlight w:val="none"/>
        </w:rPr>
        <w:t>    （3）不同竞选人的竞选文件载明的项目管理成员为同一人；</w:t>
      </w:r>
      <w:r>
        <w:rPr>
          <w:rFonts w:hint="eastAsia" w:ascii="宋体" w:hAnsi="宋体" w:cs="宋体"/>
          <w:color w:val="auto"/>
          <w:szCs w:val="21"/>
          <w:highlight w:val="none"/>
        </w:rPr>
        <w:br w:type="textWrapping"/>
      </w:r>
      <w:r>
        <w:rPr>
          <w:rFonts w:hint="eastAsia" w:ascii="宋体" w:hAnsi="宋体" w:cs="宋体"/>
          <w:color w:val="auto"/>
          <w:szCs w:val="21"/>
          <w:highlight w:val="none"/>
        </w:rPr>
        <w:t>    （4）不同竞选人的竞选文件异常一致或者竞选报价呈规律性差异；</w:t>
      </w:r>
      <w:r>
        <w:rPr>
          <w:rFonts w:hint="eastAsia" w:ascii="宋体" w:hAnsi="宋体" w:cs="宋体"/>
          <w:color w:val="auto"/>
          <w:szCs w:val="21"/>
          <w:highlight w:val="none"/>
        </w:rPr>
        <w:br w:type="textWrapping"/>
      </w:r>
      <w:r>
        <w:rPr>
          <w:rFonts w:hint="eastAsia" w:ascii="宋体" w:hAnsi="宋体" w:cs="宋体"/>
          <w:color w:val="auto"/>
          <w:szCs w:val="21"/>
          <w:highlight w:val="none"/>
        </w:rPr>
        <w:t>    （5）不同竞选人的竞选文件相互混装；</w:t>
      </w:r>
      <w:r>
        <w:rPr>
          <w:rFonts w:hint="eastAsia" w:ascii="宋体" w:hAnsi="宋体" w:cs="宋体"/>
          <w:color w:val="auto"/>
          <w:szCs w:val="21"/>
          <w:highlight w:val="none"/>
        </w:rPr>
        <w:br w:type="textWrapping"/>
      </w:r>
      <w:r>
        <w:rPr>
          <w:rFonts w:hint="eastAsia" w:ascii="宋体" w:hAnsi="宋体" w:cs="宋体"/>
          <w:color w:val="auto"/>
          <w:szCs w:val="21"/>
          <w:highlight w:val="none"/>
        </w:rPr>
        <w:t>    （6）不同竞选人的比选保证金从同一单位或者个人的账户转出。</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使用通过受让或者租借等方式获取的资格、资质证书比选申请的，属于以他人名义比选申请。</w:t>
      </w:r>
      <w:r>
        <w:rPr>
          <w:rFonts w:hint="eastAsia" w:ascii="宋体" w:hAnsi="宋体" w:cs="宋体"/>
          <w:color w:val="auto"/>
          <w:szCs w:val="21"/>
          <w:highlight w:val="none"/>
        </w:rPr>
        <w:br w:type="textWrapping"/>
      </w:r>
      <w:r>
        <w:rPr>
          <w:rFonts w:hint="eastAsia" w:ascii="宋体" w:hAnsi="宋体" w:cs="宋体"/>
          <w:color w:val="auto"/>
          <w:szCs w:val="21"/>
          <w:highlight w:val="none"/>
        </w:rPr>
        <w:t>     竞选人有下列情形之一的，属于以其他方式弄虚作假的行为，将取消比选申请或中选资格。</w:t>
      </w:r>
      <w:r>
        <w:rPr>
          <w:rFonts w:hint="eastAsia" w:ascii="宋体" w:hAnsi="宋体" w:cs="宋体"/>
          <w:color w:val="auto"/>
          <w:szCs w:val="21"/>
          <w:highlight w:val="none"/>
        </w:rPr>
        <w:br w:type="textWrapping"/>
      </w:r>
      <w:r>
        <w:rPr>
          <w:rFonts w:hint="eastAsia" w:ascii="宋体" w:hAnsi="宋体" w:cs="宋体"/>
          <w:color w:val="auto"/>
          <w:szCs w:val="21"/>
          <w:highlight w:val="none"/>
        </w:rPr>
        <w:t>    （一）使用伪造、变造的许可证件；</w:t>
      </w:r>
      <w:r>
        <w:rPr>
          <w:rFonts w:hint="eastAsia" w:ascii="宋体" w:hAnsi="宋体" w:cs="宋体"/>
          <w:color w:val="auto"/>
          <w:szCs w:val="21"/>
          <w:highlight w:val="none"/>
        </w:rPr>
        <w:br w:type="textWrapping"/>
      </w:r>
      <w:r>
        <w:rPr>
          <w:rFonts w:hint="eastAsia" w:ascii="宋体" w:hAnsi="宋体" w:cs="宋体"/>
          <w:color w:val="auto"/>
          <w:szCs w:val="21"/>
          <w:highlight w:val="none"/>
        </w:rPr>
        <w:t>    （二）提供虚假的财务状况或者业绩；</w:t>
      </w:r>
      <w:r>
        <w:rPr>
          <w:rFonts w:hint="eastAsia" w:ascii="宋体" w:hAnsi="宋体" w:cs="宋体"/>
          <w:color w:val="auto"/>
          <w:szCs w:val="21"/>
          <w:highlight w:val="none"/>
        </w:rPr>
        <w:br w:type="textWrapping"/>
      </w:r>
      <w:r>
        <w:rPr>
          <w:rFonts w:hint="eastAsia" w:ascii="宋体" w:hAnsi="宋体" w:cs="宋体"/>
          <w:color w:val="auto"/>
          <w:szCs w:val="21"/>
          <w:highlight w:val="none"/>
        </w:rPr>
        <w:t>    （三）提供虚假的项目负责人或者主要技术人员简历、劳动关系证明；</w:t>
      </w:r>
      <w:r>
        <w:rPr>
          <w:rFonts w:hint="eastAsia" w:ascii="宋体" w:hAnsi="宋体" w:cs="宋体"/>
          <w:color w:val="auto"/>
          <w:szCs w:val="21"/>
          <w:highlight w:val="none"/>
        </w:rPr>
        <w:br w:type="textWrapping"/>
      </w:r>
      <w:r>
        <w:rPr>
          <w:rFonts w:hint="eastAsia" w:ascii="宋体" w:hAnsi="宋体" w:cs="宋体"/>
          <w:color w:val="auto"/>
          <w:szCs w:val="21"/>
          <w:highlight w:val="none"/>
        </w:rPr>
        <w:t>    （四）提供虚假的信用状况；</w:t>
      </w:r>
      <w:r>
        <w:rPr>
          <w:rFonts w:hint="eastAsia" w:ascii="宋体" w:hAnsi="宋体" w:cs="宋体"/>
          <w:color w:val="auto"/>
          <w:szCs w:val="21"/>
          <w:highlight w:val="none"/>
        </w:rPr>
        <w:br w:type="textWrapping"/>
      </w:r>
      <w:r>
        <w:rPr>
          <w:rFonts w:hint="eastAsia" w:ascii="宋体" w:hAnsi="宋体" w:cs="宋体"/>
          <w:color w:val="auto"/>
          <w:szCs w:val="21"/>
          <w:highlight w:val="none"/>
        </w:rPr>
        <w:t>    （五）其他弄虚作假的行为。</w:t>
      </w:r>
      <w:bookmarkStart w:id="418" w:name="_Toc287607797"/>
      <w:bookmarkStart w:id="419" w:name="_Toc23188"/>
      <w:bookmarkStart w:id="420" w:name="_Toc224103368"/>
      <w:bookmarkStart w:id="421" w:name="_Toc277082603"/>
      <w:bookmarkStart w:id="422" w:name="_Toc200513177"/>
    </w:p>
    <w:p>
      <w:pPr>
        <w:spacing w:line="440" w:lineRule="exact"/>
        <w:rPr>
          <w:rFonts w:ascii="宋体" w:hAnsi="宋体" w:cs="宋体"/>
          <w:b/>
          <w:color w:val="auto"/>
          <w:szCs w:val="21"/>
          <w:highlight w:val="none"/>
        </w:rPr>
      </w:pPr>
      <w:bookmarkStart w:id="423" w:name="_Toc421694771"/>
      <w:r>
        <w:rPr>
          <w:rFonts w:hint="eastAsia" w:ascii="宋体" w:hAnsi="宋体" w:cs="宋体"/>
          <w:b/>
          <w:bCs/>
          <w:color w:val="auto"/>
          <w:szCs w:val="21"/>
          <w:highlight w:val="none"/>
        </w:rPr>
        <w:t>9.3  对评审委员会成员的纪律要求</w:t>
      </w:r>
      <w:bookmarkEnd w:id="423"/>
    </w:p>
    <w:p>
      <w:pPr>
        <w:autoSpaceDE w:val="0"/>
        <w:autoSpaceDN w:val="0"/>
        <w:adjustRightInd w:val="0"/>
        <w:snapToGrid w:val="0"/>
        <w:spacing w:line="44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bookmarkStart w:id="424" w:name="_Toc421694772"/>
      <w:bookmarkStart w:id="425" w:name="_Toc200513176"/>
    </w:p>
    <w:p>
      <w:pPr>
        <w:autoSpaceDE w:val="0"/>
        <w:autoSpaceDN w:val="0"/>
        <w:adjustRightInd w:val="0"/>
        <w:snapToGrid w:val="0"/>
        <w:spacing w:line="440" w:lineRule="exact"/>
        <w:rPr>
          <w:rFonts w:ascii="宋体" w:hAnsi="宋体" w:cs="宋体"/>
          <w:b/>
          <w:snapToGrid w:val="0"/>
          <w:color w:val="auto"/>
          <w:kern w:val="0"/>
          <w:szCs w:val="21"/>
          <w:highlight w:val="none"/>
        </w:rPr>
      </w:pPr>
      <w:r>
        <w:rPr>
          <w:rFonts w:hint="eastAsia" w:ascii="宋体" w:hAnsi="宋体" w:cs="宋体"/>
          <w:b/>
          <w:snapToGrid w:val="0"/>
          <w:color w:val="auto"/>
          <w:szCs w:val="21"/>
          <w:highlight w:val="none"/>
        </w:rPr>
        <w:t>9.4  对与评审活动有关的工作人员的纪律要求</w:t>
      </w:r>
      <w:bookmarkEnd w:id="424"/>
      <w:bookmarkEnd w:id="425"/>
    </w:p>
    <w:p>
      <w:pPr>
        <w:autoSpaceDE w:val="0"/>
        <w:autoSpaceDN w:val="0"/>
        <w:adjustRightInd w:val="0"/>
        <w:snapToGrid w:val="0"/>
        <w:spacing w:line="44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bookmarkStart w:id="426" w:name="_Toc421694773"/>
    </w:p>
    <w:p>
      <w:pPr>
        <w:autoSpaceDE w:val="0"/>
        <w:autoSpaceDN w:val="0"/>
        <w:adjustRightInd w:val="0"/>
        <w:snapToGrid w:val="0"/>
        <w:spacing w:line="440" w:lineRule="exact"/>
        <w:rPr>
          <w:rFonts w:ascii="宋体" w:hAnsi="宋体" w:cs="宋体"/>
          <w:b/>
          <w:snapToGrid w:val="0"/>
          <w:color w:val="auto"/>
          <w:kern w:val="0"/>
          <w:szCs w:val="21"/>
          <w:highlight w:val="none"/>
        </w:rPr>
      </w:pPr>
      <w:r>
        <w:rPr>
          <w:rFonts w:hint="eastAsia" w:ascii="宋体" w:hAnsi="宋体" w:cs="宋体"/>
          <w:b/>
          <w:snapToGrid w:val="0"/>
          <w:color w:val="auto"/>
          <w:szCs w:val="21"/>
          <w:highlight w:val="none"/>
        </w:rPr>
        <w:t>9.5  投诉</w:t>
      </w:r>
      <w:bookmarkEnd w:id="426"/>
    </w:p>
    <w:p>
      <w:pPr>
        <w:autoSpaceDE w:val="0"/>
        <w:autoSpaceDN w:val="0"/>
        <w:adjustRightInd w:val="0"/>
        <w:snapToGrid w:val="0"/>
        <w:spacing w:line="440" w:lineRule="exact"/>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竞选人和其他利害关系人认为本次比选活动违反法律、法规和规章规定的，有权向有关行政监督部门投诉。</w:t>
      </w:r>
    </w:p>
    <w:bookmarkEnd w:id="418"/>
    <w:bookmarkEnd w:id="419"/>
    <w:bookmarkEnd w:id="420"/>
    <w:bookmarkEnd w:id="421"/>
    <w:bookmarkEnd w:id="422"/>
    <w:p>
      <w:pPr>
        <w:spacing w:line="440" w:lineRule="exact"/>
        <w:outlineLvl w:val="1"/>
        <w:rPr>
          <w:rFonts w:ascii="宋体" w:hAnsi="宋体" w:cs="宋体"/>
          <w:b/>
          <w:color w:val="auto"/>
          <w:szCs w:val="21"/>
          <w:highlight w:val="none"/>
        </w:rPr>
      </w:pPr>
      <w:bookmarkStart w:id="427" w:name="_Toc19018"/>
      <w:bookmarkStart w:id="428" w:name="_Toc30329"/>
      <w:bookmarkStart w:id="429" w:name="_Toc31487"/>
      <w:bookmarkStart w:id="430" w:name="_Toc430206013"/>
      <w:bookmarkStart w:id="431" w:name="_Toc287620737"/>
      <w:bookmarkStart w:id="432" w:name="_Toc277082604"/>
      <w:bookmarkStart w:id="433" w:name="_Toc11976"/>
      <w:bookmarkStart w:id="434" w:name="_Toc287607798"/>
      <w:bookmarkStart w:id="435" w:name="_Toc12561"/>
      <w:bookmarkStart w:id="436" w:name="_Toc200513178"/>
      <w:bookmarkStart w:id="437" w:name="_Toc224103369"/>
      <w:r>
        <w:rPr>
          <w:rFonts w:hint="eastAsia" w:ascii="宋体" w:hAnsi="宋体" w:cs="宋体"/>
          <w:b/>
          <w:color w:val="auto"/>
          <w:szCs w:val="21"/>
          <w:highlight w:val="none"/>
        </w:rPr>
        <w:t>10. 需要补充的其他内容</w:t>
      </w:r>
      <w:bookmarkEnd w:id="427"/>
      <w:bookmarkEnd w:id="428"/>
      <w:bookmarkEnd w:id="429"/>
      <w:bookmarkEnd w:id="430"/>
      <w:bookmarkEnd w:id="431"/>
      <w:bookmarkEnd w:id="432"/>
      <w:bookmarkEnd w:id="433"/>
      <w:bookmarkEnd w:id="434"/>
      <w:bookmarkEnd w:id="435"/>
      <w:bookmarkEnd w:id="436"/>
      <w:bookmarkEnd w:id="437"/>
    </w:p>
    <w:p>
      <w:pPr>
        <w:spacing w:line="440" w:lineRule="exact"/>
        <w:ind w:firstLine="420" w:firstLineChars="200"/>
        <w:rPr>
          <w:rFonts w:ascii="宋体" w:hAnsi="宋体" w:cs="宋体"/>
          <w:color w:val="auto"/>
          <w:sz w:val="24"/>
          <w:highlight w:val="none"/>
        </w:rPr>
      </w:pPr>
      <w:r>
        <w:rPr>
          <w:rFonts w:hint="eastAsia" w:ascii="宋体" w:hAnsi="宋体" w:cs="宋体"/>
          <w:color w:val="auto"/>
          <w:szCs w:val="21"/>
          <w:highlight w:val="none"/>
        </w:rPr>
        <w:t>需要补充的其他内容：见竞选人须知前附表。</w:t>
      </w:r>
    </w:p>
    <w:p>
      <w:pPr>
        <w:widowControl/>
        <w:snapToGrid w:val="0"/>
        <w:jc w:val="center"/>
        <w:outlineLvl w:val="0"/>
        <w:rPr>
          <w:rFonts w:ascii="宋体" w:hAnsi="宋体" w:cs="宋体"/>
          <w:b/>
          <w:color w:val="auto"/>
          <w:kern w:val="0"/>
          <w:sz w:val="36"/>
          <w:szCs w:val="36"/>
          <w:highlight w:val="none"/>
        </w:rPr>
      </w:pPr>
      <w:bookmarkStart w:id="438" w:name="_Toc430206014"/>
      <w:r>
        <w:rPr>
          <w:rFonts w:hint="eastAsia" w:ascii="宋体" w:hAnsi="宋体" w:cs="宋体"/>
          <w:b/>
          <w:color w:val="auto"/>
          <w:kern w:val="0"/>
          <w:sz w:val="36"/>
          <w:szCs w:val="36"/>
          <w:highlight w:val="none"/>
        </w:rPr>
        <w:br w:type="page"/>
      </w:r>
      <w:bookmarkStart w:id="439" w:name="_Toc22015"/>
      <w:bookmarkStart w:id="440" w:name="_Toc18102"/>
      <w:bookmarkStart w:id="441" w:name="_Toc19081"/>
      <w:bookmarkStart w:id="442" w:name="_Toc9641"/>
      <w:r>
        <w:rPr>
          <w:rFonts w:hint="eastAsia" w:ascii="宋体" w:hAnsi="宋体" w:cs="宋体"/>
          <w:b/>
          <w:color w:val="auto"/>
          <w:kern w:val="0"/>
          <w:sz w:val="36"/>
          <w:szCs w:val="36"/>
          <w:highlight w:val="none"/>
        </w:rPr>
        <w:t>第三章  评审办法</w:t>
      </w:r>
      <w:bookmarkEnd w:id="438"/>
      <w:r>
        <w:rPr>
          <w:rFonts w:hint="eastAsia" w:ascii="宋体" w:hAnsi="宋体" w:cs="宋体"/>
          <w:b/>
          <w:color w:val="auto"/>
          <w:kern w:val="0"/>
          <w:sz w:val="36"/>
          <w:szCs w:val="36"/>
          <w:highlight w:val="none"/>
        </w:rPr>
        <w:t>（综合评估法）</w:t>
      </w:r>
      <w:bookmarkEnd w:id="439"/>
      <w:bookmarkEnd w:id="440"/>
      <w:bookmarkEnd w:id="441"/>
      <w:bookmarkEnd w:id="442"/>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2" w:firstLineChars="200"/>
        <w:jc w:val="center"/>
        <w:rPr>
          <w:rFonts w:ascii="宋体" w:hAnsi="宋体" w:cs="宋体"/>
          <w:b/>
          <w:color w:val="auto"/>
          <w:kern w:val="0"/>
          <w:sz w:val="24"/>
          <w:highlight w:val="none"/>
        </w:rPr>
      </w:pPr>
      <w:bookmarkStart w:id="443" w:name="_Toc21163"/>
      <w:bookmarkStart w:id="444" w:name="_Toc6830"/>
      <w:bookmarkStart w:id="445" w:name="_Toc21929"/>
      <w:bookmarkStart w:id="446" w:name="_Toc430206015"/>
      <w:r>
        <w:rPr>
          <w:rFonts w:hint="eastAsia" w:ascii="宋体" w:hAnsi="宋体" w:cs="宋体"/>
          <w:b/>
          <w:color w:val="auto"/>
          <w:kern w:val="0"/>
          <w:sz w:val="24"/>
          <w:highlight w:val="none"/>
        </w:rPr>
        <w:t>评审办法前附表</w:t>
      </w:r>
      <w:bookmarkEnd w:id="443"/>
      <w:bookmarkEnd w:id="444"/>
      <w:bookmarkEnd w:id="445"/>
      <w:bookmarkEnd w:id="446"/>
    </w:p>
    <w:tbl>
      <w:tblPr>
        <w:tblStyle w:val="30"/>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75"/>
        <w:gridCol w:w="1002"/>
        <w:gridCol w:w="1408"/>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1920" w:type="dxa"/>
            <w:gridSpan w:val="2"/>
            <w:vAlign w:val="center"/>
          </w:tcPr>
          <w:p>
            <w:pPr>
              <w:spacing w:line="288"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410" w:type="dxa"/>
            <w:gridSpan w:val="2"/>
            <w:vAlign w:val="center"/>
          </w:tcPr>
          <w:p>
            <w:pPr>
              <w:spacing w:line="288"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5650" w:type="dxa"/>
            <w:vAlign w:val="center"/>
          </w:tcPr>
          <w:p>
            <w:pPr>
              <w:spacing w:line="288"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845" w:type="dxa"/>
            <w:vMerge w:val="restart"/>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2.1.1</w:t>
            </w:r>
          </w:p>
        </w:tc>
        <w:tc>
          <w:tcPr>
            <w:tcW w:w="1075" w:type="dxa"/>
            <w:vMerge w:val="restart"/>
            <w:textDirection w:val="tbRlV"/>
            <w:vAlign w:val="center"/>
          </w:tcPr>
          <w:p>
            <w:pPr>
              <w:spacing w:line="288" w:lineRule="auto"/>
              <w:ind w:left="113" w:right="113"/>
              <w:jc w:val="center"/>
              <w:rPr>
                <w:rFonts w:ascii="宋体" w:hAnsi="宋体" w:cs="宋体"/>
                <w:color w:val="auto"/>
                <w:kern w:val="0"/>
                <w:szCs w:val="21"/>
                <w:highlight w:val="none"/>
              </w:rPr>
            </w:pPr>
            <w:r>
              <w:rPr>
                <w:rFonts w:hint="eastAsia" w:ascii="宋体" w:hAnsi="宋体" w:cs="宋体"/>
                <w:color w:val="auto"/>
                <w:kern w:val="0"/>
                <w:szCs w:val="21"/>
                <w:highlight w:val="none"/>
              </w:rPr>
              <w:t>形式评审标准</w:t>
            </w: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竞选人名称</w:t>
            </w:r>
          </w:p>
        </w:tc>
        <w:tc>
          <w:tcPr>
            <w:tcW w:w="5650" w:type="dxa"/>
            <w:vAlign w:val="center"/>
          </w:tcPr>
          <w:p>
            <w:pPr>
              <w:spacing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竞选函签字盖章</w:t>
            </w:r>
          </w:p>
        </w:tc>
        <w:tc>
          <w:tcPr>
            <w:tcW w:w="5650" w:type="dxa"/>
            <w:vAlign w:val="center"/>
          </w:tcPr>
          <w:p>
            <w:pPr>
              <w:spacing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有法定代表人或其委托代理人签字或盖章、加盖单位公章。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竞选文件格式</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符合第八章“竞选文件格式”的要求，字迹清晰可辨。</w:t>
            </w:r>
          </w:p>
          <w:p>
            <w:pPr>
              <w:spacing w:before="120" w:beforeLines="50" w:line="288" w:lineRule="auto"/>
              <w:ind w:firstLine="380" w:firstLineChars="181"/>
              <w:rPr>
                <w:rFonts w:ascii="宋体" w:hAnsi="宋体" w:cs="宋体"/>
                <w:color w:val="auto"/>
                <w:kern w:val="0"/>
                <w:szCs w:val="21"/>
                <w:highlight w:val="none"/>
              </w:rPr>
            </w:pPr>
            <w:r>
              <w:rPr>
                <w:rFonts w:hint="eastAsia" w:ascii="宋体" w:hAnsi="宋体" w:cs="宋体"/>
                <w:color w:val="auto"/>
                <w:kern w:val="0"/>
                <w:szCs w:val="21"/>
                <w:highlight w:val="none"/>
              </w:rPr>
              <w:t>1.竞选函的所有数据均符合比选文件的规定；</w:t>
            </w:r>
          </w:p>
          <w:p>
            <w:pPr>
              <w:spacing w:before="120" w:beforeLines="50" w:line="288" w:lineRule="auto"/>
              <w:ind w:firstLine="380" w:firstLineChars="181"/>
              <w:rPr>
                <w:rFonts w:ascii="宋体" w:hAnsi="宋体" w:cs="宋体"/>
                <w:color w:val="auto"/>
                <w:kern w:val="0"/>
                <w:szCs w:val="21"/>
                <w:highlight w:val="none"/>
              </w:rPr>
            </w:pPr>
            <w:r>
              <w:rPr>
                <w:rFonts w:hint="eastAsia" w:ascii="宋体" w:hAnsi="宋体" w:cs="宋体"/>
                <w:color w:val="auto"/>
                <w:kern w:val="0"/>
                <w:szCs w:val="21"/>
                <w:highlight w:val="none"/>
              </w:rPr>
              <w:t>2.竞选文件附表齐全完整，内容均按规定填写；</w:t>
            </w:r>
          </w:p>
          <w:p>
            <w:pPr>
              <w:spacing w:before="120" w:beforeLines="50" w:line="288" w:lineRule="auto"/>
              <w:ind w:firstLine="380" w:firstLineChars="181"/>
              <w:rPr>
                <w:rFonts w:ascii="宋体" w:hAnsi="宋体" w:cs="宋体"/>
                <w:color w:val="auto"/>
                <w:kern w:val="0"/>
                <w:szCs w:val="21"/>
                <w:highlight w:val="none"/>
              </w:rPr>
            </w:pPr>
            <w:r>
              <w:rPr>
                <w:rFonts w:hint="eastAsia" w:ascii="宋体" w:hAnsi="宋体" w:cs="宋体"/>
                <w:color w:val="auto"/>
                <w:kern w:val="0"/>
                <w:szCs w:val="21"/>
                <w:highlight w:val="none"/>
              </w:rPr>
              <w:t>3.竞选文件的编制符合第二章3.7款的规定。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报价唯一</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竞选文件的签署</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竞选文件上法定代表人或其委托代理人的签字齐全。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委托代理人</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竞选人法定代表人的委托代理人有法定代表人签署的授权委托书（委托代理人必须为本单位人员，</w:t>
            </w:r>
            <w:r>
              <w:rPr>
                <w:rFonts w:hint="eastAsia" w:ascii="宋体" w:hAnsi="宋体" w:cs="宋体"/>
                <w:color w:val="auto"/>
                <w:szCs w:val="21"/>
                <w:highlight w:val="none"/>
              </w:rPr>
              <w:t>须</w:t>
            </w:r>
            <w:r>
              <w:rPr>
                <w:rFonts w:hint="eastAsia" w:ascii="宋体" w:hAnsi="宋体" w:cs="宋体"/>
                <w:color w:val="auto"/>
                <w:kern w:val="0"/>
                <w:szCs w:val="21"/>
                <w:highlight w:val="none"/>
              </w:rPr>
              <w:t>至少提供2019年7月-2020年6月养老保险证明的复印件）。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45" w:type="dxa"/>
            <w:vMerge w:val="restart"/>
            <w:vAlign w:val="center"/>
          </w:tcPr>
          <w:p>
            <w:pPr>
              <w:spacing w:line="288" w:lineRule="auto"/>
              <w:jc w:val="center"/>
              <w:rPr>
                <w:rFonts w:ascii="宋体" w:hAnsi="宋体" w:cs="宋体"/>
                <w:color w:val="auto"/>
                <w:szCs w:val="21"/>
                <w:highlight w:val="none"/>
              </w:rPr>
            </w:pPr>
            <w:r>
              <w:rPr>
                <w:rFonts w:hint="eastAsia" w:ascii="宋体" w:hAnsi="宋体" w:cs="宋体"/>
                <w:color w:val="auto"/>
                <w:kern w:val="0"/>
                <w:szCs w:val="21"/>
                <w:highlight w:val="none"/>
              </w:rPr>
              <w:t>2.1.2</w:t>
            </w:r>
          </w:p>
        </w:tc>
        <w:tc>
          <w:tcPr>
            <w:tcW w:w="1075" w:type="dxa"/>
            <w:vMerge w:val="restart"/>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资格评审</w:t>
            </w:r>
          </w:p>
          <w:p>
            <w:pPr>
              <w:spacing w:line="288" w:lineRule="auto"/>
              <w:jc w:val="center"/>
              <w:rPr>
                <w:rFonts w:ascii="宋体" w:hAnsi="宋体" w:cs="宋体"/>
                <w:color w:val="auto"/>
                <w:szCs w:val="21"/>
                <w:highlight w:val="none"/>
              </w:rPr>
            </w:pPr>
            <w:r>
              <w:rPr>
                <w:rFonts w:hint="eastAsia" w:ascii="宋体" w:hAnsi="宋体" w:cs="宋体"/>
                <w:color w:val="auto"/>
                <w:kern w:val="0"/>
                <w:szCs w:val="21"/>
                <w:highlight w:val="none"/>
              </w:rPr>
              <w:t>标准</w:t>
            </w: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资质条件</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安全生产条件</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财务要求</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业绩要求</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项目经理资格要求</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主要管理人员资格要求</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外地施工企业比选</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845" w:type="dxa"/>
            <w:vMerge w:val="restart"/>
            <w:vAlign w:val="center"/>
          </w:tcPr>
          <w:p>
            <w:pPr>
              <w:spacing w:line="288" w:lineRule="auto"/>
              <w:jc w:val="center"/>
              <w:rPr>
                <w:rFonts w:ascii="宋体" w:hAnsi="宋体" w:cs="宋体"/>
                <w:color w:val="auto"/>
                <w:szCs w:val="21"/>
                <w:highlight w:val="none"/>
              </w:rPr>
            </w:pPr>
            <w:r>
              <w:rPr>
                <w:rFonts w:hint="eastAsia" w:ascii="宋体" w:hAnsi="宋体" w:cs="宋体"/>
                <w:color w:val="auto"/>
                <w:kern w:val="0"/>
                <w:szCs w:val="21"/>
                <w:highlight w:val="none"/>
              </w:rPr>
              <w:t>2.1.3</w:t>
            </w:r>
          </w:p>
        </w:tc>
        <w:tc>
          <w:tcPr>
            <w:tcW w:w="1075" w:type="dxa"/>
            <w:vMerge w:val="restart"/>
            <w:textDirection w:val="tbRlV"/>
            <w:vAlign w:val="center"/>
          </w:tcPr>
          <w:p>
            <w:pPr>
              <w:spacing w:line="288" w:lineRule="auto"/>
              <w:ind w:left="113" w:right="113"/>
              <w:jc w:val="center"/>
              <w:rPr>
                <w:rFonts w:ascii="宋体" w:hAnsi="宋体" w:cs="宋体"/>
                <w:color w:val="auto"/>
                <w:szCs w:val="21"/>
                <w:highlight w:val="none"/>
              </w:rPr>
            </w:pPr>
            <w:r>
              <w:rPr>
                <w:rFonts w:hint="eastAsia" w:ascii="宋体" w:hAnsi="宋体" w:cs="宋体"/>
                <w:color w:val="auto"/>
                <w:kern w:val="0"/>
                <w:szCs w:val="21"/>
                <w:highlight w:val="none"/>
              </w:rPr>
              <w:t>响应性评审标准</w:t>
            </w: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竞选总报价</w:t>
            </w:r>
          </w:p>
        </w:tc>
        <w:tc>
          <w:tcPr>
            <w:tcW w:w="5650" w:type="dxa"/>
          </w:tcPr>
          <w:p>
            <w:pPr>
              <w:spacing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竞选总报价不得高于比选人公布的最高限价。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845" w:type="dxa"/>
            <w:vMerge w:val="continue"/>
            <w:vAlign w:val="center"/>
          </w:tcPr>
          <w:p>
            <w:pPr>
              <w:spacing w:line="288" w:lineRule="auto"/>
              <w:jc w:val="center"/>
              <w:rPr>
                <w:rFonts w:ascii="宋体" w:hAnsi="宋体" w:cs="宋体"/>
                <w:color w:val="auto"/>
                <w:kern w:val="0"/>
                <w:szCs w:val="21"/>
                <w:highlight w:val="none"/>
              </w:rPr>
            </w:pPr>
          </w:p>
        </w:tc>
        <w:tc>
          <w:tcPr>
            <w:tcW w:w="1075" w:type="dxa"/>
            <w:vMerge w:val="continue"/>
            <w:textDirection w:val="tbRlV"/>
            <w:vAlign w:val="center"/>
          </w:tcPr>
          <w:p>
            <w:pPr>
              <w:spacing w:line="288" w:lineRule="auto"/>
              <w:ind w:left="113" w:right="113"/>
              <w:jc w:val="center"/>
              <w:rPr>
                <w:rFonts w:ascii="宋体" w:hAnsi="宋体" w:cs="宋体"/>
                <w:color w:val="auto"/>
                <w:kern w:val="0"/>
                <w:szCs w:val="21"/>
                <w:highlight w:val="none"/>
              </w:rPr>
            </w:pPr>
          </w:p>
        </w:tc>
        <w:tc>
          <w:tcPr>
            <w:tcW w:w="2410" w:type="dxa"/>
            <w:gridSpan w:val="2"/>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暂定金额</w:t>
            </w:r>
          </w:p>
        </w:tc>
        <w:tc>
          <w:tcPr>
            <w:tcW w:w="5650" w:type="dxa"/>
            <w:vAlign w:val="center"/>
          </w:tcPr>
          <w:p>
            <w:pPr>
              <w:spacing w:line="400" w:lineRule="exact"/>
              <w:ind w:firstLine="420" w:firstLineChars="200"/>
              <w:rPr>
                <w:rFonts w:ascii="宋体" w:hAnsi="宋体" w:cs="宋体"/>
                <w:color w:val="auto"/>
                <w:kern w:val="0"/>
                <w:szCs w:val="21"/>
                <w:highlight w:val="none"/>
              </w:rPr>
            </w:pPr>
            <w:r>
              <w:rPr>
                <w:rFonts w:hint="eastAsia" w:ascii="宋体" w:hAnsi="宋体"/>
                <w:color w:val="auto"/>
                <w:kern w:val="0"/>
                <w:highlight w:val="none"/>
              </w:rPr>
              <w:t>安全文明施工费等其他暂定金额必须按照招标文件给定的金额填报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45" w:type="dxa"/>
            <w:vMerge w:val="continue"/>
            <w:vAlign w:val="center"/>
          </w:tcPr>
          <w:p>
            <w:pPr>
              <w:spacing w:line="288" w:lineRule="auto"/>
              <w:jc w:val="center"/>
              <w:rPr>
                <w:rFonts w:ascii="宋体" w:hAnsi="宋体" w:cs="宋体"/>
                <w:color w:val="auto"/>
                <w:kern w:val="0"/>
                <w:szCs w:val="21"/>
                <w:highlight w:val="none"/>
              </w:rPr>
            </w:pPr>
          </w:p>
        </w:tc>
        <w:tc>
          <w:tcPr>
            <w:tcW w:w="1075" w:type="dxa"/>
            <w:vMerge w:val="continue"/>
            <w:textDirection w:val="tbRlV"/>
            <w:vAlign w:val="center"/>
          </w:tcPr>
          <w:p>
            <w:pPr>
              <w:spacing w:line="288" w:lineRule="auto"/>
              <w:ind w:left="113" w:right="113"/>
              <w:jc w:val="center"/>
              <w:rPr>
                <w:rFonts w:ascii="宋体" w:hAnsi="宋体" w:cs="宋体"/>
                <w:color w:val="auto"/>
                <w:kern w:val="0"/>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szCs w:val="21"/>
                <w:highlight w:val="none"/>
              </w:rPr>
              <w:t>比选范围</w:t>
            </w:r>
          </w:p>
        </w:tc>
        <w:tc>
          <w:tcPr>
            <w:tcW w:w="5650" w:type="dxa"/>
            <w:vAlign w:val="center"/>
          </w:tcPr>
          <w:p>
            <w:pPr>
              <w:spacing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snapToGrid w:val="0"/>
                <w:color w:val="auto"/>
                <w:kern w:val="0"/>
                <w:szCs w:val="21"/>
                <w:highlight w:val="none"/>
              </w:rPr>
              <w:t>计划工期</w:t>
            </w:r>
          </w:p>
        </w:tc>
        <w:tc>
          <w:tcPr>
            <w:tcW w:w="5650" w:type="dxa"/>
          </w:tcPr>
          <w:p>
            <w:pPr>
              <w:spacing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5650" w:type="dxa"/>
          </w:tcPr>
          <w:p>
            <w:pPr>
              <w:spacing w:line="288" w:lineRule="auto"/>
              <w:ind w:firstLine="420" w:firstLineChars="200"/>
              <w:rPr>
                <w:rFonts w:ascii="宋体" w:hAnsi="宋体" w:cs="宋体"/>
                <w:color w:val="auto"/>
                <w:kern w:val="0"/>
                <w:szCs w:val="21"/>
                <w:highlight w:val="none"/>
              </w:rPr>
            </w:pPr>
            <w:r>
              <w:rPr>
                <w:rFonts w:ascii="宋体" w:hAnsi="宋体"/>
                <w:color w:val="auto"/>
                <w:kern w:val="0"/>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比选申请有效期</w:t>
            </w:r>
          </w:p>
        </w:tc>
        <w:tc>
          <w:tcPr>
            <w:tcW w:w="5650" w:type="dxa"/>
          </w:tcPr>
          <w:p>
            <w:pPr>
              <w:spacing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比选保证金</w:t>
            </w:r>
          </w:p>
        </w:tc>
        <w:tc>
          <w:tcPr>
            <w:tcW w:w="5650" w:type="dxa"/>
            <w:vAlign w:val="center"/>
          </w:tcPr>
          <w:p>
            <w:pPr>
              <w:snapToGrid w:val="0"/>
              <w:spacing w:before="120" w:beforeLines="50" w:line="288" w:lineRule="auto"/>
              <w:rPr>
                <w:rFonts w:ascii="宋体" w:hAnsi="宋体" w:cs="宋体"/>
                <w:color w:val="auto"/>
                <w:kern w:val="0"/>
                <w:szCs w:val="21"/>
                <w:highlight w:val="none"/>
              </w:rPr>
            </w:pPr>
            <w:r>
              <w:rPr>
                <w:rFonts w:hint="eastAsia" w:ascii="宋体" w:hAnsi="宋体" w:cs="宋体"/>
                <w:color w:val="auto"/>
                <w:kern w:val="0"/>
                <w:szCs w:val="21"/>
                <w:highlight w:val="none"/>
              </w:rPr>
              <w:t>符合第二章竞选人须知前附表第3.4.1项规定，并符合下列要求：</w:t>
            </w:r>
          </w:p>
          <w:p>
            <w:pPr>
              <w:tabs>
                <w:tab w:val="left" w:pos="601"/>
                <w:tab w:val="left" w:pos="732"/>
              </w:tabs>
              <w:snapToGrid w:val="0"/>
              <w:spacing w:before="120" w:beforeLines="50" w:line="288" w:lineRule="auto"/>
              <w:rPr>
                <w:rFonts w:ascii="宋体" w:hAnsi="宋体" w:cs="宋体"/>
                <w:color w:val="auto"/>
                <w:kern w:val="0"/>
                <w:szCs w:val="21"/>
                <w:highlight w:val="none"/>
              </w:rPr>
            </w:pPr>
            <w:r>
              <w:rPr>
                <w:rFonts w:hint="eastAsia" w:ascii="宋体" w:hAnsi="宋体" w:cs="宋体"/>
                <w:color w:val="auto"/>
                <w:kern w:val="0"/>
                <w:szCs w:val="21"/>
                <w:highlight w:val="none"/>
              </w:rPr>
              <w:t>1.比选保证金为无条件担保；</w:t>
            </w:r>
          </w:p>
          <w:p>
            <w:pPr>
              <w:tabs>
                <w:tab w:val="left" w:pos="601"/>
              </w:tabs>
              <w:snapToGrid w:val="0"/>
              <w:spacing w:before="120" w:beforeLines="50" w:line="288" w:lineRule="auto"/>
              <w:rPr>
                <w:rFonts w:ascii="宋体" w:hAnsi="宋体" w:cs="宋体"/>
                <w:color w:val="auto"/>
                <w:kern w:val="0"/>
                <w:szCs w:val="21"/>
                <w:highlight w:val="none"/>
              </w:rPr>
            </w:pPr>
            <w:r>
              <w:rPr>
                <w:rFonts w:hint="eastAsia" w:ascii="宋体" w:hAnsi="宋体" w:cs="宋体"/>
                <w:color w:val="auto"/>
                <w:kern w:val="0"/>
                <w:szCs w:val="21"/>
                <w:highlight w:val="none"/>
              </w:rPr>
              <w:t>2.比选保证金的受益人名称与比选人规定的受益人一致；</w:t>
            </w:r>
          </w:p>
          <w:p>
            <w:pPr>
              <w:tabs>
                <w:tab w:val="left" w:pos="601"/>
              </w:tabs>
              <w:snapToGrid w:val="0"/>
              <w:spacing w:before="120" w:beforeLines="50" w:line="288" w:lineRule="auto"/>
              <w:rPr>
                <w:rFonts w:ascii="宋体" w:hAnsi="宋体" w:cs="宋体"/>
                <w:color w:val="auto"/>
                <w:kern w:val="0"/>
                <w:szCs w:val="21"/>
                <w:highlight w:val="none"/>
              </w:rPr>
            </w:pPr>
            <w:r>
              <w:rPr>
                <w:rFonts w:hint="eastAsia" w:ascii="宋体" w:hAnsi="宋体" w:cs="宋体"/>
                <w:color w:val="auto"/>
                <w:kern w:val="0"/>
                <w:szCs w:val="21"/>
                <w:highlight w:val="none"/>
              </w:rPr>
              <w:t>3.比选保证金的金额符合比选文件规定的金额；</w:t>
            </w:r>
          </w:p>
          <w:p>
            <w:pPr>
              <w:tabs>
                <w:tab w:val="left" w:pos="601"/>
              </w:tabs>
              <w:snapToGrid w:val="0"/>
              <w:spacing w:before="120" w:beforeLines="50" w:line="288" w:lineRule="auto"/>
              <w:rPr>
                <w:rFonts w:ascii="宋体" w:hAnsi="宋体" w:cs="宋体"/>
                <w:color w:val="auto"/>
                <w:kern w:val="0"/>
                <w:szCs w:val="21"/>
                <w:highlight w:val="none"/>
              </w:rPr>
            </w:pPr>
            <w:r>
              <w:rPr>
                <w:rFonts w:hint="eastAsia" w:ascii="宋体" w:hAnsi="宋体" w:cs="宋体"/>
                <w:color w:val="auto"/>
                <w:kern w:val="0"/>
                <w:szCs w:val="21"/>
                <w:highlight w:val="none"/>
              </w:rPr>
              <w:t>4.比选保证金有效期与比选申请有效期一致。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权利义务</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符合第四章“合同条款及格式”规定，竞选文件不应附有比选人不能接受的条件。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napToGrid w:val="0"/>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已标价</w:t>
            </w:r>
          </w:p>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工程量清单</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符合第五章“工程量清单”给出的范围及数量，且竞选报价不得高于比选人公布的最高限价</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技术标准和要求</w:t>
            </w:r>
          </w:p>
        </w:tc>
        <w:tc>
          <w:tcPr>
            <w:tcW w:w="5650" w:type="dxa"/>
            <w:vAlign w:val="center"/>
          </w:tcPr>
          <w:p>
            <w:pPr>
              <w:spacing w:before="120" w:beforeLines="50"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符合第七章“技术标准和要求”规定</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45" w:type="dxa"/>
            <w:vMerge w:val="continue"/>
          </w:tcPr>
          <w:p>
            <w:pPr>
              <w:spacing w:line="288" w:lineRule="auto"/>
              <w:rPr>
                <w:rFonts w:ascii="宋体" w:hAnsi="宋体" w:cs="宋体"/>
                <w:color w:val="auto"/>
                <w:szCs w:val="21"/>
                <w:highlight w:val="none"/>
              </w:rPr>
            </w:pPr>
          </w:p>
        </w:tc>
        <w:tc>
          <w:tcPr>
            <w:tcW w:w="1075" w:type="dxa"/>
            <w:vMerge w:val="continue"/>
          </w:tcPr>
          <w:p>
            <w:pPr>
              <w:spacing w:line="288" w:lineRule="auto"/>
              <w:rPr>
                <w:rFonts w:ascii="宋体" w:hAnsi="宋体" w:cs="宋体"/>
                <w:color w:val="auto"/>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实质性要求</w:t>
            </w:r>
          </w:p>
        </w:tc>
        <w:tc>
          <w:tcPr>
            <w:tcW w:w="5650" w:type="dxa"/>
            <w:vAlign w:val="center"/>
          </w:tcPr>
          <w:p>
            <w:pPr>
              <w:spacing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符合比选文件中规定的其他实质性要求。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20" w:type="dxa"/>
            <w:gridSpan w:val="2"/>
            <w:vAlign w:val="center"/>
          </w:tcPr>
          <w:p>
            <w:pPr>
              <w:spacing w:line="288" w:lineRule="auto"/>
              <w:ind w:firstLine="210" w:firstLineChars="100"/>
              <w:jc w:val="center"/>
              <w:rPr>
                <w:rFonts w:ascii="宋体" w:hAnsi="宋体" w:cs="宋体"/>
                <w:color w:val="auto"/>
                <w:kern w:val="0"/>
                <w:szCs w:val="21"/>
                <w:highlight w:val="none"/>
              </w:rPr>
            </w:pPr>
            <w:r>
              <w:rPr>
                <w:rFonts w:hint="eastAsia" w:ascii="宋体" w:hAnsi="宋体" w:cs="宋体"/>
                <w:color w:val="auto"/>
                <w:kern w:val="0"/>
                <w:szCs w:val="21"/>
                <w:highlight w:val="none"/>
              </w:rPr>
              <w:t>2.2.1</w:t>
            </w:r>
          </w:p>
        </w:tc>
        <w:tc>
          <w:tcPr>
            <w:tcW w:w="2410" w:type="dxa"/>
            <w:gridSpan w:val="2"/>
            <w:vAlign w:val="center"/>
          </w:tcPr>
          <w:p>
            <w:pPr>
              <w:tabs>
                <w:tab w:val="left" w:pos="1875"/>
              </w:tabs>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分值构成 </w:t>
            </w:r>
          </w:p>
          <w:p>
            <w:pPr>
              <w:tabs>
                <w:tab w:val="left" w:pos="1875"/>
              </w:tabs>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(总分1OO分)</w:t>
            </w:r>
          </w:p>
        </w:tc>
        <w:tc>
          <w:tcPr>
            <w:tcW w:w="5650" w:type="dxa"/>
            <w:vAlign w:val="center"/>
          </w:tcPr>
          <w:p>
            <w:pPr>
              <w:widowControl/>
              <w:numPr>
                <w:ilvl w:val="0"/>
                <w:numId w:val="6"/>
              </w:numPr>
              <w:snapToGrid w:val="0"/>
              <w:spacing w:line="440" w:lineRule="exact"/>
              <w:ind w:firstLine="482"/>
              <w:jc w:val="left"/>
              <w:rPr>
                <w:color w:val="auto"/>
                <w:highlight w:val="none"/>
              </w:rPr>
            </w:pPr>
            <w:bookmarkStart w:id="447" w:name="CQZH1_03"/>
            <w:r>
              <w:rPr>
                <w:rFonts w:hint="eastAsia"/>
                <w:color w:val="auto"/>
                <w:highlight w:val="none"/>
              </w:rPr>
              <w:t>竞选总报价</w:t>
            </w:r>
            <w:r>
              <w:rPr>
                <w:rFonts w:hint="eastAsia"/>
                <w:color w:val="auto"/>
                <w:highlight w:val="none"/>
                <w:u w:val="single"/>
              </w:rPr>
              <w:t>80</w:t>
            </w:r>
            <w:r>
              <w:rPr>
                <w:rFonts w:hint="eastAsia"/>
                <w:color w:val="auto"/>
                <w:highlight w:val="none"/>
              </w:rPr>
              <w:t>分</w:t>
            </w:r>
            <w:bookmarkEnd w:id="447"/>
            <w:r>
              <w:rPr>
                <w:rFonts w:hint="eastAsia"/>
                <w:color w:val="auto"/>
                <w:highlight w:val="none"/>
              </w:rPr>
              <w:t>；</w:t>
            </w:r>
          </w:p>
          <w:p>
            <w:pPr>
              <w:widowControl/>
              <w:numPr>
                <w:ilvl w:val="0"/>
                <w:numId w:val="6"/>
              </w:numPr>
              <w:snapToGrid w:val="0"/>
              <w:spacing w:line="440" w:lineRule="exact"/>
              <w:ind w:firstLine="482"/>
              <w:jc w:val="left"/>
              <w:rPr>
                <w:color w:val="auto"/>
                <w:highlight w:val="none"/>
              </w:rPr>
            </w:pPr>
            <w:r>
              <w:rPr>
                <w:rFonts w:hint="eastAsia"/>
                <w:color w:val="auto"/>
                <w:highlight w:val="none"/>
              </w:rPr>
              <w:t>技术部分</w:t>
            </w:r>
            <w:r>
              <w:rPr>
                <w:rFonts w:hint="eastAsia"/>
                <w:color w:val="auto"/>
                <w:highlight w:val="none"/>
                <w:u w:val="single"/>
              </w:rPr>
              <w:t>20</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192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2.2.2</w:t>
            </w:r>
          </w:p>
        </w:tc>
        <w:tc>
          <w:tcPr>
            <w:tcW w:w="1002" w:type="dxa"/>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评审基准价计算方法</w:t>
            </w:r>
          </w:p>
        </w:tc>
        <w:tc>
          <w:tcPr>
            <w:tcW w:w="1408" w:type="dxa"/>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竞选总报价</w:t>
            </w:r>
          </w:p>
        </w:tc>
        <w:tc>
          <w:tcPr>
            <w:tcW w:w="5650" w:type="dxa"/>
            <w:vAlign w:val="center"/>
          </w:tcPr>
          <w:p>
            <w:pPr>
              <w:widowControl/>
              <w:snapToGrid w:val="0"/>
              <w:spacing w:line="440" w:lineRule="exact"/>
              <w:ind w:firstLine="482"/>
              <w:jc w:val="left"/>
              <w:rPr>
                <w:rFonts w:ascii="宋体" w:hAnsi="宋体" w:cs="宋体"/>
                <w:color w:val="auto"/>
                <w:kern w:val="0"/>
                <w:szCs w:val="21"/>
                <w:highlight w:val="none"/>
              </w:rPr>
            </w:pPr>
            <w:r>
              <w:rPr>
                <w:rFonts w:hint="eastAsia" w:ascii="宋体" w:hAnsi="宋体" w:cs="宋体"/>
                <w:color w:val="auto"/>
                <w:kern w:val="0"/>
                <w:szCs w:val="21"/>
                <w:highlight w:val="none"/>
              </w:rPr>
              <w:t>所有通过初步评审合格的竞选人（比选人设有最高限价的，则竞选报价高于最高限价的除外）的竞选报价中去掉六分之一（不能整除的按小数点前整数取整，不足六家报价则不去掉）的最低价和相同家数的最高价后的算术平均值作为竞选总报价的评审基准价。</w:t>
            </w:r>
          </w:p>
          <w:p>
            <w:pPr>
              <w:snapToGri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20" w:type="dxa"/>
            <w:gridSpan w:val="2"/>
            <w:vMerge w:val="restart"/>
            <w:vAlign w:val="center"/>
          </w:tcPr>
          <w:p>
            <w:pPr>
              <w:spacing w:line="288"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2.2.3</w:t>
            </w:r>
          </w:p>
        </w:tc>
        <w:tc>
          <w:tcPr>
            <w:tcW w:w="2410" w:type="dxa"/>
            <w:gridSpan w:val="2"/>
            <w:vAlign w:val="center"/>
          </w:tcPr>
          <w:p>
            <w:pPr>
              <w:spacing w:line="288"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偏差率计算公式</w:t>
            </w:r>
          </w:p>
        </w:tc>
        <w:tc>
          <w:tcPr>
            <w:tcW w:w="5650" w:type="dxa"/>
            <w:vAlign w:val="center"/>
          </w:tcPr>
          <w:p>
            <w:pPr>
              <w:widowControl/>
              <w:snapToGrid w:val="0"/>
              <w:spacing w:line="288"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偏差率=100%×（竞选总报价-评审基准价）/评审基准价。</w:t>
            </w:r>
          </w:p>
          <w:p>
            <w:pPr>
              <w:spacing w:line="288"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偏差率计算保留小数点后两位，小数点后第三位“四舍五入”。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920" w:type="dxa"/>
            <w:gridSpan w:val="2"/>
            <w:vMerge w:val="continue"/>
            <w:vAlign w:val="center"/>
          </w:tcPr>
          <w:p>
            <w:pPr>
              <w:spacing w:line="288" w:lineRule="auto"/>
              <w:jc w:val="center"/>
              <w:rPr>
                <w:rFonts w:ascii="宋体" w:hAnsi="宋体" w:cs="宋体"/>
                <w:color w:val="auto"/>
                <w:kern w:val="0"/>
                <w:szCs w:val="21"/>
                <w:highlight w:val="none"/>
              </w:rPr>
            </w:pPr>
          </w:p>
        </w:tc>
        <w:tc>
          <w:tcPr>
            <w:tcW w:w="2410" w:type="dxa"/>
            <w:gridSpan w:val="2"/>
            <w:vAlign w:val="center"/>
          </w:tcPr>
          <w:p>
            <w:pPr>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允许偏差范围</w:t>
            </w:r>
          </w:p>
        </w:tc>
        <w:tc>
          <w:tcPr>
            <w:tcW w:w="5650" w:type="dxa"/>
            <w:vAlign w:val="center"/>
          </w:tcPr>
          <w:p>
            <w:pPr>
              <w:tabs>
                <w:tab w:val="left" w:pos="718"/>
              </w:tabs>
              <w:spacing w:line="288"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-10%--+3%（含-10%和+3%）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845" w:type="dxa"/>
            <w:vAlign w:val="center"/>
          </w:tcPr>
          <w:p>
            <w:pPr>
              <w:snapToGrid w:val="0"/>
              <w:spacing w:line="288" w:lineRule="auto"/>
              <w:ind w:left="105" w:hanging="105" w:hangingChars="50"/>
              <w:jc w:val="center"/>
              <w:rPr>
                <w:rFonts w:ascii="宋体" w:hAnsi="宋体" w:cs="宋体"/>
                <w:color w:val="auto"/>
                <w:kern w:val="0"/>
                <w:szCs w:val="21"/>
                <w:highlight w:val="none"/>
              </w:rPr>
            </w:pPr>
            <w:r>
              <w:rPr>
                <w:rFonts w:hint="eastAsia" w:ascii="宋体" w:hAnsi="宋体" w:cs="宋体"/>
                <w:color w:val="auto"/>
                <w:szCs w:val="21"/>
                <w:highlight w:val="none"/>
              </w:rPr>
              <w:t>2.2.4（1）</w:t>
            </w:r>
          </w:p>
        </w:tc>
        <w:tc>
          <w:tcPr>
            <w:tcW w:w="1075" w:type="dxa"/>
            <w:vAlign w:val="center"/>
          </w:tcPr>
          <w:p>
            <w:pPr>
              <w:snapToGrid w:val="0"/>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竞选总报价评分标准</w:t>
            </w:r>
            <w:r>
              <w:rPr>
                <w:rFonts w:hint="eastAsia" w:ascii="宋体" w:hAnsi="宋体" w:cs="宋体"/>
                <w:color w:val="auto"/>
                <w:szCs w:val="21"/>
                <w:highlight w:val="none"/>
              </w:rPr>
              <w:t>（A）</w:t>
            </w:r>
          </w:p>
        </w:tc>
        <w:tc>
          <w:tcPr>
            <w:tcW w:w="2410" w:type="dxa"/>
            <w:gridSpan w:val="2"/>
            <w:vAlign w:val="center"/>
          </w:tcPr>
          <w:p>
            <w:pPr>
              <w:tabs>
                <w:tab w:val="left" w:pos="2300"/>
              </w:tabs>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竞选总报价</w:t>
            </w:r>
          </w:p>
          <w:p>
            <w:pPr>
              <w:snapToGrid w:val="0"/>
              <w:spacing w:line="440" w:lineRule="exact"/>
              <w:jc w:val="center"/>
              <w:rPr>
                <w:rFonts w:ascii="宋体" w:hAnsi="宋体" w:cs="宋体"/>
                <w:color w:val="auto"/>
                <w:kern w:val="0"/>
                <w:szCs w:val="21"/>
                <w:highlight w:val="none"/>
              </w:rPr>
            </w:pPr>
            <w:r>
              <w:rPr>
                <w:rFonts w:hint="eastAsia" w:ascii="宋体" w:hAnsi="宋体" w:cs="宋体"/>
                <w:color w:val="auto"/>
                <w:szCs w:val="21"/>
                <w:highlight w:val="none"/>
              </w:rPr>
              <w:t>（80分）</w:t>
            </w:r>
          </w:p>
        </w:tc>
        <w:tc>
          <w:tcPr>
            <w:tcW w:w="5650" w:type="dxa"/>
            <w:vAlign w:val="center"/>
          </w:tcPr>
          <w:p>
            <w:pPr>
              <w:pStyle w:val="23"/>
              <w:spacing w:line="360" w:lineRule="exact"/>
              <w:ind w:firstLine="420" w:firstLineChars="200"/>
              <w:rPr>
                <w:rFonts w:cs="宋体"/>
                <w:color w:val="auto"/>
                <w:sz w:val="21"/>
                <w:szCs w:val="21"/>
                <w:highlight w:val="none"/>
              </w:rPr>
            </w:pPr>
            <w:r>
              <w:rPr>
                <w:rFonts w:hint="eastAsia" w:cs="宋体"/>
                <w:color w:val="auto"/>
                <w:sz w:val="21"/>
                <w:szCs w:val="21"/>
                <w:highlight w:val="none"/>
              </w:rPr>
              <w:t>竞选总报价偏差在本章2.2.3项规定允许范围外的得零分，在本章2.2.3项规定的允许范围内的，得满分8</w:t>
            </w:r>
            <w:r>
              <w:rPr>
                <w:rFonts w:hint="eastAsia" w:cs="宋体"/>
                <w:color w:val="auto"/>
                <w:sz w:val="21"/>
                <w:szCs w:val="21"/>
                <w:highlight w:val="none"/>
                <w:u w:val="single"/>
              </w:rPr>
              <w:t>0</w:t>
            </w:r>
            <w:r>
              <w:rPr>
                <w:rFonts w:hint="eastAsia" w:cs="宋体"/>
                <w:color w:val="auto"/>
                <w:sz w:val="21"/>
                <w:szCs w:val="21"/>
                <w:highlight w:val="none"/>
              </w:rPr>
              <w:t>分，在此基础上，竞选总报价与评审基准价相比，每增加1%扣</w:t>
            </w:r>
            <w:r>
              <w:rPr>
                <w:rFonts w:hint="eastAsia" w:cs="宋体"/>
                <w:color w:val="auto"/>
                <w:sz w:val="21"/>
                <w:szCs w:val="21"/>
                <w:highlight w:val="none"/>
                <w:u w:val="single"/>
              </w:rPr>
              <w:t>1</w:t>
            </w:r>
            <w:r>
              <w:rPr>
                <w:rFonts w:hint="eastAsia" w:cs="宋体"/>
                <w:color w:val="auto"/>
                <w:sz w:val="21"/>
                <w:szCs w:val="21"/>
                <w:highlight w:val="none"/>
              </w:rPr>
              <w:t>分，每减少1%扣</w:t>
            </w:r>
            <w:r>
              <w:rPr>
                <w:rFonts w:hint="eastAsia" w:cs="宋体"/>
                <w:color w:val="auto"/>
                <w:sz w:val="21"/>
                <w:szCs w:val="21"/>
                <w:highlight w:val="none"/>
                <w:u w:val="single"/>
              </w:rPr>
              <w:t>0.5</w:t>
            </w:r>
            <w:r>
              <w:rPr>
                <w:rFonts w:hint="eastAsia" w:cs="宋体"/>
                <w:color w:val="auto"/>
                <w:sz w:val="21"/>
                <w:szCs w:val="21"/>
                <w:highlight w:val="none"/>
              </w:rPr>
              <w:t>分，扣完为止。</w:t>
            </w:r>
          </w:p>
          <w:p>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    按插入法计算得分。</w:t>
            </w:r>
            <w:r>
              <w:rPr>
                <w:rFonts w:hint="eastAsia" w:ascii="宋体" w:hAnsi="宋体" w:cs="宋体"/>
                <w:color w:val="auto"/>
                <w:kern w:val="0"/>
                <w:szCs w:val="21"/>
                <w:highlight w:val="none"/>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5" w:type="dxa"/>
            <w:vMerge w:val="restart"/>
            <w:vAlign w:val="center"/>
          </w:tcPr>
          <w:p>
            <w:pPr>
              <w:snapToGrid w:val="0"/>
              <w:spacing w:line="288" w:lineRule="auto"/>
              <w:ind w:left="105" w:hanging="105" w:hangingChars="50"/>
              <w:jc w:val="center"/>
              <w:rPr>
                <w:rFonts w:ascii="宋体" w:hAnsi="宋体" w:cs="宋体"/>
                <w:color w:val="auto"/>
                <w:szCs w:val="21"/>
                <w:highlight w:val="none"/>
              </w:rPr>
            </w:pPr>
            <w:r>
              <w:rPr>
                <w:rFonts w:hint="eastAsia" w:ascii="宋体" w:hAnsi="宋体" w:cs="宋体"/>
                <w:color w:val="auto"/>
                <w:szCs w:val="21"/>
                <w:highlight w:val="none"/>
              </w:rPr>
              <w:t>2.2.4（2）</w:t>
            </w:r>
          </w:p>
        </w:tc>
        <w:tc>
          <w:tcPr>
            <w:tcW w:w="1075" w:type="dxa"/>
            <w:vMerge w:val="restart"/>
            <w:vAlign w:val="center"/>
          </w:tcPr>
          <w:p>
            <w:pPr>
              <w:snapToGrid w:val="0"/>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技术部分评分标准（B）</w:t>
            </w:r>
          </w:p>
        </w:tc>
        <w:tc>
          <w:tcPr>
            <w:tcW w:w="2410" w:type="dxa"/>
            <w:gridSpan w:val="2"/>
            <w:vAlign w:val="center"/>
          </w:tcPr>
          <w:p>
            <w:pPr>
              <w:jc w:val="left"/>
              <w:rPr>
                <w:rFonts w:ascii="宋体" w:hAnsi="宋体"/>
                <w:color w:val="auto"/>
                <w:highlight w:val="none"/>
              </w:rPr>
            </w:pPr>
            <w:r>
              <w:rPr>
                <w:rFonts w:hint="eastAsia" w:ascii="宋体" w:hAnsi="宋体"/>
                <w:color w:val="auto"/>
                <w:highlight w:val="none"/>
              </w:rPr>
              <w:t>施工方案与技术措施</w:t>
            </w:r>
          </w:p>
        </w:tc>
        <w:tc>
          <w:tcPr>
            <w:tcW w:w="5650" w:type="dxa"/>
            <w:vAlign w:val="center"/>
          </w:tcPr>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single"/>
              </w:rPr>
              <w:t>4</w:t>
            </w:r>
            <w:r>
              <w:rPr>
                <w:rFonts w:ascii="宋体" w:hAnsi="宋体"/>
                <w:color w:val="auto"/>
                <w:highlight w:val="none"/>
                <w:u w:val="single"/>
              </w:rPr>
              <w:t xml:space="preserve"> 　</w:t>
            </w:r>
            <w:r>
              <w:rPr>
                <w:rFonts w:ascii="宋体" w:hAnsi="宋体"/>
                <w:color w:val="auto"/>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845" w:type="dxa"/>
            <w:vMerge w:val="continue"/>
            <w:vAlign w:val="center"/>
          </w:tcPr>
          <w:p>
            <w:pPr>
              <w:snapToGrid w:val="0"/>
              <w:spacing w:line="288" w:lineRule="auto"/>
              <w:ind w:left="105" w:hanging="105" w:hangingChars="50"/>
              <w:jc w:val="center"/>
              <w:rPr>
                <w:rFonts w:ascii="宋体" w:hAnsi="宋体" w:cs="宋体"/>
                <w:color w:val="auto"/>
                <w:szCs w:val="21"/>
                <w:highlight w:val="none"/>
              </w:rPr>
            </w:pPr>
          </w:p>
        </w:tc>
        <w:tc>
          <w:tcPr>
            <w:tcW w:w="1075" w:type="dxa"/>
            <w:vMerge w:val="continue"/>
            <w:vAlign w:val="center"/>
          </w:tcPr>
          <w:p>
            <w:pPr>
              <w:snapToGrid w:val="0"/>
              <w:spacing w:line="288" w:lineRule="auto"/>
              <w:jc w:val="center"/>
              <w:rPr>
                <w:rFonts w:ascii="宋体" w:hAnsi="宋体" w:cs="宋体"/>
                <w:color w:val="auto"/>
                <w:kern w:val="0"/>
                <w:szCs w:val="21"/>
                <w:highlight w:val="none"/>
              </w:rPr>
            </w:pPr>
          </w:p>
        </w:tc>
        <w:tc>
          <w:tcPr>
            <w:tcW w:w="2410" w:type="dxa"/>
            <w:gridSpan w:val="2"/>
            <w:vAlign w:val="center"/>
          </w:tcPr>
          <w:p>
            <w:pPr>
              <w:jc w:val="left"/>
              <w:rPr>
                <w:rFonts w:ascii="宋体" w:hAnsi="宋体"/>
                <w:color w:val="auto"/>
                <w:highlight w:val="none"/>
              </w:rPr>
            </w:pPr>
            <w:r>
              <w:rPr>
                <w:rFonts w:hint="eastAsia" w:ascii="宋体" w:hAnsi="宋体"/>
                <w:color w:val="auto"/>
                <w:highlight w:val="none"/>
              </w:rPr>
              <w:t>质量管理体系与措施</w:t>
            </w:r>
          </w:p>
        </w:tc>
        <w:tc>
          <w:tcPr>
            <w:tcW w:w="5650" w:type="dxa"/>
            <w:vAlign w:val="center"/>
          </w:tcPr>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single"/>
              </w:rPr>
              <w:t>3</w:t>
            </w:r>
            <w:r>
              <w:rPr>
                <w:rFonts w:ascii="宋体" w:hAnsi="宋体"/>
                <w:color w:val="auto"/>
                <w:highlight w:val="none"/>
                <w:u w:val="single"/>
              </w:rPr>
              <w:t xml:space="preserve"> 　</w:t>
            </w:r>
            <w:r>
              <w:rPr>
                <w:rFonts w:ascii="宋体" w:hAnsi="宋体"/>
                <w:color w:val="auto"/>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5" w:type="dxa"/>
            <w:vMerge w:val="continue"/>
            <w:vAlign w:val="center"/>
          </w:tcPr>
          <w:p>
            <w:pPr>
              <w:snapToGrid w:val="0"/>
              <w:spacing w:line="288" w:lineRule="auto"/>
              <w:ind w:left="105" w:hanging="105" w:hangingChars="50"/>
              <w:jc w:val="center"/>
              <w:rPr>
                <w:rFonts w:ascii="宋体" w:hAnsi="宋体" w:cs="宋体"/>
                <w:color w:val="auto"/>
                <w:szCs w:val="21"/>
                <w:highlight w:val="none"/>
              </w:rPr>
            </w:pPr>
          </w:p>
        </w:tc>
        <w:tc>
          <w:tcPr>
            <w:tcW w:w="1075" w:type="dxa"/>
            <w:vMerge w:val="continue"/>
            <w:vAlign w:val="center"/>
          </w:tcPr>
          <w:p>
            <w:pPr>
              <w:snapToGrid w:val="0"/>
              <w:spacing w:line="288" w:lineRule="auto"/>
              <w:jc w:val="center"/>
              <w:rPr>
                <w:rFonts w:ascii="宋体" w:hAnsi="宋体" w:cs="宋体"/>
                <w:color w:val="auto"/>
                <w:kern w:val="0"/>
                <w:szCs w:val="21"/>
                <w:highlight w:val="none"/>
              </w:rPr>
            </w:pPr>
          </w:p>
        </w:tc>
        <w:tc>
          <w:tcPr>
            <w:tcW w:w="2410" w:type="dxa"/>
            <w:gridSpan w:val="2"/>
            <w:vAlign w:val="center"/>
          </w:tcPr>
          <w:p>
            <w:pPr>
              <w:jc w:val="left"/>
              <w:rPr>
                <w:rFonts w:ascii="宋体" w:hAnsi="宋体"/>
                <w:color w:val="auto"/>
                <w:highlight w:val="none"/>
              </w:rPr>
            </w:pPr>
            <w:r>
              <w:rPr>
                <w:rFonts w:hint="eastAsia" w:ascii="宋体" w:hAnsi="宋体"/>
                <w:color w:val="auto"/>
                <w:highlight w:val="none"/>
              </w:rPr>
              <w:t>安全管理体系与措施</w:t>
            </w:r>
          </w:p>
        </w:tc>
        <w:tc>
          <w:tcPr>
            <w:tcW w:w="5650" w:type="dxa"/>
            <w:vAlign w:val="center"/>
          </w:tcPr>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single"/>
              </w:rPr>
              <w:t>3</w:t>
            </w:r>
            <w:r>
              <w:rPr>
                <w:rFonts w:ascii="宋体" w:hAnsi="宋体"/>
                <w:color w:val="auto"/>
                <w:highlight w:val="none"/>
                <w:u w:val="single"/>
              </w:rPr>
              <w:t xml:space="preserve"> 　</w:t>
            </w:r>
            <w:r>
              <w:rPr>
                <w:rFonts w:ascii="宋体" w:hAnsi="宋体"/>
                <w:color w:val="auto"/>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845" w:type="dxa"/>
            <w:vMerge w:val="continue"/>
            <w:vAlign w:val="center"/>
          </w:tcPr>
          <w:p>
            <w:pPr>
              <w:snapToGrid w:val="0"/>
              <w:spacing w:line="288" w:lineRule="auto"/>
              <w:ind w:left="105" w:hanging="105" w:hangingChars="50"/>
              <w:jc w:val="center"/>
              <w:rPr>
                <w:rFonts w:ascii="宋体" w:hAnsi="宋体" w:cs="宋体"/>
                <w:color w:val="auto"/>
                <w:szCs w:val="21"/>
                <w:highlight w:val="none"/>
              </w:rPr>
            </w:pPr>
          </w:p>
        </w:tc>
        <w:tc>
          <w:tcPr>
            <w:tcW w:w="1075" w:type="dxa"/>
            <w:vMerge w:val="continue"/>
            <w:vAlign w:val="center"/>
          </w:tcPr>
          <w:p>
            <w:pPr>
              <w:snapToGrid w:val="0"/>
              <w:spacing w:line="288" w:lineRule="auto"/>
              <w:jc w:val="center"/>
              <w:rPr>
                <w:rFonts w:ascii="宋体" w:hAnsi="宋体" w:cs="宋体"/>
                <w:color w:val="auto"/>
                <w:kern w:val="0"/>
                <w:szCs w:val="21"/>
                <w:highlight w:val="none"/>
              </w:rPr>
            </w:pPr>
          </w:p>
        </w:tc>
        <w:tc>
          <w:tcPr>
            <w:tcW w:w="2410" w:type="dxa"/>
            <w:gridSpan w:val="2"/>
            <w:vAlign w:val="center"/>
          </w:tcPr>
          <w:p>
            <w:pPr>
              <w:jc w:val="left"/>
              <w:rPr>
                <w:rFonts w:ascii="宋体" w:hAnsi="宋体"/>
                <w:color w:val="auto"/>
                <w:highlight w:val="none"/>
              </w:rPr>
            </w:pPr>
            <w:r>
              <w:rPr>
                <w:rFonts w:hint="eastAsia" w:ascii="宋体" w:hAnsi="宋体"/>
                <w:color w:val="auto"/>
                <w:highlight w:val="none"/>
              </w:rPr>
              <w:t>环境保护管理体系</w:t>
            </w:r>
          </w:p>
          <w:p>
            <w:pPr>
              <w:jc w:val="left"/>
              <w:rPr>
                <w:rFonts w:ascii="宋体" w:hAnsi="宋体"/>
                <w:color w:val="auto"/>
                <w:highlight w:val="none"/>
              </w:rPr>
            </w:pPr>
            <w:r>
              <w:rPr>
                <w:rFonts w:hint="eastAsia" w:ascii="宋体" w:hAnsi="宋体"/>
                <w:color w:val="auto"/>
                <w:highlight w:val="none"/>
              </w:rPr>
              <w:t>与措施</w:t>
            </w:r>
          </w:p>
        </w:tc>
        <w:tc>
          <w:tcPr>
            <w:tcW w:w="5650" w:type="dxa"/>
            <w:vAlign w:val="center"/>
          </w:tcPr>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single"/>
              </w:rPr>
              <w:t>2</w:t>
            </w:r>
            <w:r>
              <w:rPr>
                <w:rFonts w:ascii="宋体" w:hAnsi="宋体"/>
                <w:color w:val="auto"/>
                <w:highlight w:val="none"/>
                <w:u w:val="single"/>
              </w:rPr>
              <w:t xml:space="preserve"> 　</w:t>
            </w:r>
            <w:r>
              <w:rPr>
                <w:rFonts w:ascii="宋体"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5" w:type="dxa"/>
            <w:vMerge w:val="continue"/>
            <w:vAlign w:val="center"/>
          </w:tcPr>
          <w:p>
            <w:pPr>
              <w:snapToGrid w:val="0"/>
              <w:spacing w:line="288" w:lineRule="auto"/>
              <w:ind w:left="105" w:hanging="105" w:hangingChars="50"/>
              <w:jc w:val="center"/>
              <w:rPr>
                <w:rFonts w:ascii="宋体" w:hAnsi="宋体" w:cs="宋体"/>
                <w:color w:val="auto"/>
                <w:szCs w:val="21"/>
                <w:highlight w:val="none"/>
              </w:rPr>
            </w:pPr>
          </w:p>
        </w:tc>
        <w:tc>
          <w:tcPr>
            <w:tcW w:w="1075" w:type="dxa"/>
            <w:vMerge w:val="continue"/>
            <w:vAlign w:val="center"/>
          </w:tcPr>
          <w:p>
            <w:pPr>
              <w:snapToGrid w:val="0"/>
              <w:spacing w:line="288" w:lineRule="auto"/>
              <w:jc w:val="center"/>
              <w:rPr>
                <w:rFonts w:ascii="宋体" w:hAnsi="宋体" w:cs="宋体"/>
                <w:color w:val="auto"/>
                <w:kern w:val="0"/>
                <w:szCs w:val="21"/>
                <w:highlight w:val="none"/>
              </w:rPr>
            </w:pPr>
          </w:p>
        </w:tc>
        <w:tc>
          <w:tcPr>
            <w:tcW w:w="2410" w:type="dxa"/>
            <w:gridSpan w:val="2"/>
            <w:vAlign w:val="center"/>
          </w:tcPr>
          <w:p>
            <w:pPr>
              <w:jc w:val="left"/>
              <w:rPr>
                <w:rFonts w:ascii="宋体" w:hAnsi="宋体"/>
                <w:color w:val="auto"/>
                <w:highlight w:val="none"/>
              </w:rPr>
            </w:pPr>
            <w:r>
              <w:rPr>
                <w:rFonts w:hint="eastAsia" w:ascii="宋体" w:hAnsi="宋体"/>
                <w:color w:val="auto"/>
                <w:highlight w:val="none"/>
              </w:rPr>
              <w:t>工程进度计划与措施</w:t>
            </w:r>
          </w:p>
        </w:tc>
        <w:tc>
          <w:tcPr>
            <w:tcW w:w="5650" w:type="dxa"/>
            <w:vAlign w:val="center"/>
          </w:tcPr>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single"/>
              </w:rPr>
              <w:t xml:space="preserve">2 </w:t>
            </w:r>
            <w:r>
              <w:rPr>
                <w:rFonts w:ascii="宋体" w:hAnsi="宋体"/>
                <w:color w:val="auto"/>
                <w:highlight w:val="none"/>
                <w:u w:val="single"/>
              </w:rPr>
              <w:t>　</w:t>
            </w:r>
            <w:r>
              <w:rPr>
                <w:rFonts w:ascii="宋体" w:hAnsi="宋体"/>
                <w:color w:val="auto"/>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845" w:type="dxa"/>
            <w:vMerge w:val="continue"/>
            <w:vAlign w:val="center"/>
          </w:tcPr>
          <w:p>
            <w:pPr>
              <w:snapToGrid w:val="0"/>
              <w:spacing w:line="288" w:lineRule="auto"/>
              <w:ind w:left="105" w:hanging="105" w:hangingChars="50"/>
              <w:jc w:val="center"/>
              <w:rPr>
                <w:rFonts w:ascii="宋体" w:hAnsi="宋体" w:cs="宋体"/>
                <w:color w:val="auto"/>
                <w:szCs w:val="21"/>
                <w:highlight w:val="none"/>
              </w:rPr>
            </w:pPr>
          </w:p>
        </w:tc>
        <w:tc>
          <w:tcPr>
            <w:tcW w:w="1075" w:type="dxa"/>
            <w:vMerge w:val="continue"/>
            <w:vAlign w:val="center"/>
          </w:tcPr>
          <w:p>
            <w:pPr>
              <w:snapToGrid w:val="0"/>
              <w:spacing w:line="288" w:lineRule="auto"/>
              <w:jc w:val="center"/>
              <w:rPr>
                <w:rFonts w:ascii="宋体" w:hAnsi="宋体" w:cs="宋体"/>
                <w:color w:val="auto"/>
                <w:kern w:val="0"/>
                <w:szCs w:val="21"/>
                <w:highlight w:val="none"/>
              </w:rPr>
            </w:pPr>
          </w:p>
        </w:tc>
        <w:tc>
          <w:tcPr>
            <w:tcW w:w="2410" w:type="dxa"/>
            <w:gridSpan w:val="2"/>
            <w:vAlign w:val="center"/>
          </w:tcPr>
          <w:p>
            <w:pPr>
              <w:jc w:val="left"/>
              <w:rPr>
                <w:rFonts w:ascii="宋体" w:hAnsi="宋体"/>
                <w:color w:val="auto"/>
                <w:highlight w:val="none"/>
              </w:rPr>
            </w:pPr>
            <w:r>
              <w:rPr>
                <w:rFonts w:hint="eastAsia" w:ascii="宋体" w:hAnsi="宋体"/>
                <w:color w:val="auto"/>
                <w:highlight w:val="none"/>
              </w:rPr>
              <w:t>资源配备计划</w:t>
            </w:r>
          </w:p>
        </w:tc>
        <w:tc>
          <w:tcPr>
            <w:tcW w:w="5650" w:type="dxa"/>
            <w:vAlign w:val="center"/>
          </w:tcPr>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single"/>
              </w:rPr>
              <w:t xml:space="preserve">2   </w:t>
            </w:r>
            <w:r>
              <w:rPr>
                <w:rFonts w:ascii="宋体" w:hAnsi="宋体"/>
                <w:color w:val="auto"/>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5" w:type="dxa"/>
            <w:vMerge w:val="continue"/>
            <w:vAlign w:val="center"/>
          </w:tcPr>
          <w:p>
            <w:pPr>
              <w:snapToGrid w:val="0"/>
              <w:spacing w:line="288" w:lineRule="auto"/>
              <w:ind w:left="105" w:hanging="105" w:hangingChars="50"/>
              <w:jc w:val="center"/>
              <w:rPr>
                <w:rFonts w:ascii="宋体" w:hAnsi="宋体" w:cs="宋体"/>
                <w:color w:val="auto"/>
                <w:szCs w:val="21"/>
                <w:highlight w:val="none"/>
              </w:rPr>
            </w:pPr>
          </w:p>
        </w:tc>
        <w:tc>
          <w:tcPr>
            <w:tcW w:w="1075" w:type="dxa"/>
            <w:vMerge w:val="continue"/>
            <w:vAlign w:val="center"/>
          </w:tcPr>
          <w:p>
            <w:pPr>
              <w:snapToGrid w:val="0"/>
              <w:spacing w:line="288" w:lineRule="auto"/>
              <w:jc w:val="center"/>
              <w:rPr>
                <w:rFonts w:ascii="宋体" w:hAnsi="宋体" w:cs="宋体"/>
                <w:color w:val="auto"/>
                <w:kern w:val="0"/>
                <w:szCs w:val="21"/>
                <w:highlight w:val="none"/>
              </w:rPr>
            </w:pPr>
          </w:p>
        </w:tc>
        <w:tc>
          <w:tcPr>
            <w:tcW w:w="2410" w:type="dxa"/>
            <w:gridSpan w:val="2"/>
            <w:vAlign w:val="center"/>
          </w:tcPr>
          <w:p>
            <w:pPr>
              <w:jc w:val="left"/>
              <w:rPr>
                <w:rFonts w:ascii="宋体" w:hAnsi="宋体"/>
                <w:color w:val="auto"/>
                <w:highlight w:val="none"/>
              </w:rPr>
            </w:pPr>
            <w:r>
              <w:rPr>
                <w:rFonts w:hint="eastAsia" w:ascii="宋体" w:hAnsi="宋体"/>
                <w:color w:val="auto"/>
                <w:highlight w:val="none"/>
              </w:rPr>
              <w:t>施工设备</w:t>
            </w:r>
          </w:p>
        </w:tc>
        <w:tc>
          <w:tcPr>
            <w:tcW w:w="5650" w:type="dxa"/>
            <w:vAlign w:val="center"/>
          </w:tcPr>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single"/>
              </w:rPr>
              <w:t>2</w:t>
            </w:r>
            <w:r>
              <w:rPr>
                <w:rFonts w:ascii="宋体" w:hAnsi="宋体"/>
                <w:color w:val="auto"/>
                <w:highlight w:val="none"/>
                <w:u w:val="single"/>
              </w:rPr>
              <w:t xml:space="preserve"> 　</w:t>
            </w:r>
            <w:r>
              <w:rPr>
                <w:rFonts w:ascii="宋体" w:hAnsi="宋体"/>
                <w:color w:val="auto"/>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5" w:type="dxa"/>
            <w:vMerge w:val="continue"/>
            <w:vAlign w:val="center"/>
          </w:tcPr>
          <w:p>
            <w:pPr>
              <w:snapToGrid w:val="0"/>
              <w:spacing w:line="288" w:lineRule="auto"/>
              <w:ind w:left="105" w:hanging="105" w:hangingChars="50"/>
              <w:jc w:val="center"/>
              <w:rPr>
                <w:rFonts w:ascii="宋体" w:hAnsi="宋体" w:cs="宋体"/>
                <w:color w:val="auto"/>
                <w:szCs w:val="21"/>
                <w:highlight w:val="none"/>
              </w:rPr>
            </w:pPr>
          </w:p>
        </w:tc>
        <w:tc>
          <w:tcPr>
            <w:tcW w:w="1075" w:type="dxa"/>
            <w:vMerge w:val="continue"/>
            <w:vAlign w:val="center"/>
          </w:tcPr>
          <w:p>
            <w:pPr>
              <w:snapToGrid w:val="0"/>
              <w:spacing w:line="288" w:lineRule="auto"/>
              <w:jc w:val="center"/>
              <w:rPr>
                <w:rFonts w:ascii="宋体" w:hAnsi="宋体" w:cs="宋体"/>
                <w:color w:val="auto"/>
                <w:kern w:val="0"/>
                <w:szCs w:val="21"/>
                <w:highlight w:val="none"/>
              </w:rPr>
            </w:pPr>
          </w:p>
        </w:tc>
        <w:tc>
          <w:tcPr>
            <w:tcW w:w="2410" w:type="dxa"/>
            <w:gridSpan w:val="2"/>
            <w:vAlign w:val="center"/>
          </w:tcPr>
          <w:p>
            <w:pPr>
              <w:jc w:val="left"/>
              <w:rPr>
                <w:rFonts w:ascii="宋体" w:hAnsi="宋体"/>
                <w:color w:val="auto"/>
                <w:highlight w:val="none"/>
              </w:rPr>
            </w:pPr>
            <w:r>
              <w:rPr>
                <w:rFonts w:hint="eastAsia" w:ascii="宋体" w:hAnsi="宋体"/>
                <w:color w:val="auto"/>
                <w:highlight w:val="none"/>
              </w:rPr>
              <w:t>试验、检测仪器设备</w:t>
            </w:r>
          </w:p>
        </w:tc>
        <w:tc>
          <w:tcPr>
            <w:tcW w:w="5650" w:type="dxa"/>
            <w:vAlign w:val="center"/>
          </w:tcPr>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single"/>
              </w:rPr>
              <w:t>2</w:t>
            </w:r>
            <w:r>
              <w:rPr>
                <w:rFonts w:ascii="宋体" w:hAnsi="宋体"/>
                <w:color w:val="auto"/>
                <w:highlight w:val="none"/>
                <w:u w:val="single"/>
              </w:rPr>
              <w:t xml:space="preserve"> 　</w:t>
            </w:r>
            <w:r>
              <w:rPr>
                <w:rFonts w:ascii="宋体" w:hAnsi="宋体"/>
                <w:color w:val="auto"/>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9980" w:type="dxa"/>
            <w:gridSpan w:val="5"/>
            <w:vAlign w:val="center"/>
          </w:tcPr>
          <w:p>
            <w:pPr>
              <w:snapToGrid w:val="0"/>
              <w:spacing w:line="400" w:lineRule="exact"/>
              <w:ind w:firstLine="420" w:firstLineChars="200"/>
              <w:jc w:val="left"/>
              <w:rPr>
                <w:rFonts w:ascii="宋体" w:hAnsi="宋体"/>
                <w:color w:val="auto"/>
                <w:highlight w:val="none"/>
              </w:rPr>
            </w:pPr>
            <w:r>
              <w:rPr>
                <w:rFonts w:ascii="宋体" w:hAnsi="宋体"/>
                <w:color w:val="auto"/>
                <w:highlight w:val="none"/>
              </w:rPr>
              <w:t>评标委员会按2.2.4（2）项各评审因素设定的分值评分。</w:t>
            </w:r>
          </w:p>
          <w:p>
            <w:pPr>
              <w:snapToGrid w:val="0"/>
              <w:spacing w:line="400" w:lineRule="exact"/>
              <w:ind w:firstLine="420" w:firstLineChars="200"/>
              <w:jc w:val="left"/>
              <w:rPr>
                <w:rFonts w:ascii="宋体" w:hAnsi="宋体"/>
                <w:color w:val="auto"/>
                <w:highlight w:val="none"/>
              </w:rPr>
            </w:pPr>
            <w:r>
              <w:rPr>
                <w:rFonts w:ascii="宋体" w:hAnsi="宋体"/>
                <w:color w:val="auto"/>
                <w:highlight w:val="none"/>
              </w:rPr>
              <w:t>招标文件中设有</w:t>
            </w:r>
            <w:r>
              <w:rPr>
                <w:rFonts w:hint="eastAsia" w:ascii="宋体" w:hAnsi="宋体"/>
                <w:color w:val="auto"/>
                <w:highlight w:val="none"/>
              </w:rPr>
              <w:t>技术方案</w:t>
            </w:r>
            <w:r>
              <w:rPr>
                <w:rFonts w:ascii="宋体" w:hAnsi="宋体"/>
                <w:color w:val="auto"/>
                <w:highlight w:val="none"/>
              </w:rPr>
              <w:t>评审的，评标委员会全体成员对</w:t>
            </w:r>
            <w:r>
              <w:rPr>
                <w:rFonts w:hint="eastAsia" w:ascii="宋体" w:hAnsi="宋体"/>
                <w:color w:val="auto"/>
                <w:highlight w:val="none"/>
              </w:rPr>
              <w:t>技术方案</w:t>
            </w:r>
            <w:r>
              <w:rPr>
                <w:rFonts w:ascii="宋体" w:hAnsi="宋体"/>
                <w:color w:val="auto"/>
                <w:highlight w:val="none"/>
              </w:rPr>
              <w:t>进行评审，</w:t>
            </w:r>
            <w:r>
              <w:rPr>
                <w:rFonts w:hint="eastAsia" w:ascii="宋体" w:hAnsi="宋体"/>
                <w:color w:val="auto"/>
                <w:highlight w:val="none"/>
              </w:rPr>
              <w:t>竞选</w:t>
            </w:r>
            <w:r>
              <w:rPr>
                <w:rFonts w:ascii="宋体" w:hAnsi="宋体"/>
                <w:color w:val="auto"/>
                <w:highlight w:val="none"/>
              </w:rPr>
              <w:t>人技术方案得分应在所有评委打分中取算术平均值为该投标人技术方案得分。</w:t>
            </w:r>
          </w:p>
          <w:p>
            <w:pPr>
              <w:snapToGrid w:val="0"/>
              <w:spacing w:line="400" w:lineRule="exact"/>
              <w:ind w:firstLine="420" w:firstLineChars="200"/>
              <w:jc w:val="left"/>
              <w:rPr>
                <w:rFonts w:ascii="宋体" w:hAnsi="宋体"/>
                <w:color w:val="auto"/>
                <w:highlight w:val="none"/>
                <w:u w:val="single"/>
              </w:rPr>
            </w:pPr>
            <w:r>
              <w:rPr>
                <w:rFonts w:ascii="宋体" w:hAnsi="宋体"/>
                <w:color w:val="auto"/>
                <w:highlight w:val="none"/>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920" w:type="dxa"/>
            <w:gridSpan w:val="2"/>
            <w:vAlign w:val="center"/>
          </w:tcPr>
          <w:p>
            <w:pPr>
              <w:snapToGrid w:val="0"/>
              <w:spacing w:line="288" w:lineRule="auto"/>
              <w:jc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2410" w:type="dxa"/>
            <w:gridSpan w:val="2"/>
            <w:vAlign w:val="center"/>
          </w:tcPr>
          <w:p>
            <w:pPr>
              <w:spacing w:line="288" w:lineRule="auto"/>
              <w:jc w:val="center"/>
              <w:rPr>
                <w:rFonts w:ascii="宋体" w:hAnsi="宋体" w:cs="宋体"/>
                <w:color w:val="auto"/>
                <w:highlight w:val="none"/>
              </w:rPr>
            </w:pPr>
            <w:r>
              <w:rPr>
                <w:rFonts w:hint="eastAsia" w:ascii="宋体" w:hAnsi="宋体" w:cs="宋体"/>
                <w:color w:val="auto"/>
                <w:highlight w:val="none"/>
              </w:rPr>
              <w:t>评</w:t>
            </w:r>
          </w:p>
          <w:p>
            <w:pPr>
              <w:spacing w:line="288" w:lineRule="auto"/>
              <w:jc w:val="center"/>
              <w:rPr>
                <w:rFonts w:ascii="宋体" w:hAnsi="宋体" w:cs="宋体"/>
                <w:color w:val="auto"/>
                <w:highlight w:val="none"/>
              </w:rPr>
            </w:pPr>
            <w:r>
              <w:rPr>
                <w:rFonts w:hint="eastAsia" w:ascii="宋体" w:hAnsi="宋体" w:cs="宋体"/>
                <w:color w:val="auto"/>
                <w:highlight w:val="none"/>
              </w:rPr>
              <w:t>标</w:t>
            </w:r>
          </w:p>
          <w:p>
            <w:pPr>
              <w:spacing w:line="288" w:lineRule="auto"/>
              <w:jc w:val="center"/>
              <w:rPr>
                <w:rFonts w:ascii="宋体" w:hAnsi="宋体" w:cs="宋体"/>
                <w:color w:val="auto"/>
                <w:highlight w:val="none"/>
              </w:rPr>
            </w:pPr>
            <w:r>
              <w:rPr>
                <w:rFonts w:hint="eastAsia" w:ascii="宋体" w:hAnsi="宋体" w:cs="宋体"/>
                <w:color w:val="auto"/>
                <w:highlight w:val="none"/>
              </w:rPr>
              <w:t>程</w:t>
            </w:r>
          </w:p>
          <w:p>
            <w:pPr>
              <w:snapToGrid w:val="0"/>
              <w:spacing w:line="288" w:lineRule="auto"/>
              <w:jc w:val="center"/>
              <w:rPr>
                <w:rFonts w:ascii="宋体" w:hAnsi="宋体" w:cs="宋体"/>
                <w:color w:val="auto"/>
                <w:kern w:val="0"/>
                <w:szCs w:val="21"/>
                <w:highlight w:val="none"/>
              </w:rPr>
            </w:pPr>
            <w:r>
              <w:rPr>
                <w:rFonts w:hint="eastAsia" w:ascii="宋体" w:hAnsi="宋体" w:cs="宋体"/>
                <w:color w:val="auto"/>
                <w:highlight w:val="none"/>
              </w:rPr>
              <w:t>序</w:t>
            </w:r>
          </w:p>
        </w:tc>
        <w:tc>
          <w:tcPr>
            <w:tcW w:w="5650" w:type="dxa"/>
            <w:vAlign w:val="center"/>
          </w:tcPr>
          <w:p>
            <w:pPr>
              <w:spacing w:line="400" w:lineRule="exact"/>
              <w:ind w:firstLine="420" w:firstLineChars="200"/>
              <w:rPr>
                <w:rFonts w:ascii="宋体" w:hAnsi="宋体"/>
                <w:color w:val="auto"/>
                <w:szCs w:val="21"/>
                <w:highlight w:val="none"/>
              </w:rPr>
            </w:pPr>
            <w:r>
              <w:rPr>
                <w:rFonts w:ascii="宋体" w:hAnsi="宋体"/>
                <w:color w:val="auto"/>
                <w:szCs w:val="21"/>
                <w:highlight w:val="none"/>
              </w:rPr>
              <w:t>1.按本章评标办法第3.1款进行初步评审，按照本章2.2.2项计算方法计算评标基准价。</w:t>
            </w:r>
          </w:p>
          <w:p>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szCs w:val="21"/>
                <w:highlight w:val="none"/>
              </w:rPr>
              <w:t>按本章评标办法第3.2款至3.4款规定的程序进行评审，按本附表第3.2.1项规定的评分标准评审计分，并对各投标人的竞选总报价、技术方案所得分值进行汇总，确定得分由高至低前三名投标人为中标候选人。</w:t>
            </w:r>
          </w:p>
          <w:p>
            <w:pPr>
              <w:spacing w:line="360" w:lineRule="exact"/>
              <w:ind w:firstLine="420" w:firstLineChars="200"/>
              <w:rPr>
                <w:rFonts w:ascii="宋体" w:hAnsi="宋体" w:cs="宋体"/>
                <w:color w:val="auto"/>
                <w:kern w:val="0"/>
                <w:szCs w:val="21"/>
                <w:highlight w:val="none"/>
              </w:rPr>
            </w:pPr>
            <w:r>
              <w:rPr>
                <w:rFonts w:ascii="宋体" w:hAnsi="宋体"/>
                <w:color w:val="auto"/>
                <w:kern w:val="0"/>
                <w:szCs w:val="21"/>
                <w:highlight w:val="none"/>
              </w:rPr>
              <w:t>3.因评标委员会作否决投标处理导致有效投标不足三人而使投标明显缺乏竞争的，评标委员会可以否决全部投标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920" w:type="dxa"/>
            <w:gridSpan w:val="2"/>
            <w:vAlign w:val="center"/>
          </w:tcPr>
          <w:p>
            <w:pPr>
              <w:snapToGrid w:val="0"/>
              <w:spacing w:line="288" w:lineRule="auto"/>
              <w:jc w:val="center"/>
              <w:rPr>
                <w:rFonts w:ascii="宋体" w:hAnsi="宋体" w:cs="宋体"/>
                <w:color w:val="auto"/>
                <w:kern w:val="0"/>
                <w:szCs w:val="21"/>
                <w:highlight w:val="none"/>
              </w:rPr>
            </w:pPr>
            <w:r>
              <w:rPr>
                <w:rFonts w:hint="eastAsia" w:ascii="宋体" w:hAnsi="宋体" w:cs="宋体"/>
                <w:color w:val="auto"/>
                <w:szCs w:val="21"/>
                <w:highlight w:val="none"/>
              </w:rPr>
              <w:t>3.2.3</w:t>
            </w:r>
          </w:p>
        </w:tc>
        <w:tc>
          <w:tcPr>
            <w:tcW w:w="2410" w:type="dxa"/>
            <w:gridSpan w:val="2"/>
            <w:vAlign w:val="center"/>
          </w:tcPr>
          <w:p>
            <w:pPr>
              <w:snapToGrid w:val="0"/>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竞选人</w:t>
            </w:r>
            <w:r>
              <w:rPr>
                <w:rFonts w:hint="eastAsia" w:ascii="宋体" w:hAnsi="宋体" w:cs="宋体"/>
                <w:color w:val="auto"/>
                <w:szCs w:val="21"/>
                <w:highlight w:val="none"/>
              </w:rPr>
              <w:t>得分</w:t>
            </w:r>
          </w:p>
        </w:tc>
        <w:tc>
          <w:tcPr>
            <w:tcW w:w="5650" w:type="dxa"/>
            <w:vAlign w:val="center"/>
          </w:tcPr>
          <w:p>
            <w:pPr>
              <w:snapToGrid w:val="0"/>
              <w:spacing w:line="288"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竞选人得分=A+B</w:t>
            </w:r>
          </w:p>
        </w:tc>
      </w:tr>
    </w:tbl>
    <w:p>
      <w:pPr>
        <w:spacing w:line="440" w:lineRule="exact"/>
        <w:rPr>
          <w:rFonts w:ascii="宋体" w:hAnsi="宋体" w:cs="宋体"/>
          <w:color w:val="auto"/>
          <w:w w:val="99"/>
          <w:kern w:val="0"/>
          <w:szCs w:val="21"/>
          <w:highlight w:val="none"/>
        </w:rPr>
      </w:pPr>
      <w:bookmarkStart w:id="448" w:name="_Toc277082618"/>
      <w:bookmarkStart w:id="449" w:name="_Toc224103384"/>
      <w:bookmarkStart w:id="450" w:name="_Toc430206016"/>
      <w:bookmarkStart w:id="451" w:name="_Toc287607812"/>
      <w:bookmarkStart w:id="452" w:name="_Toc200513198"/>
      <w:bookmarkStart w:id="453" w:name="_Toc421694777"/>
      <w:bookmarkStart w:id="454" w:name="_Toc287620751"/>
      <w:r>
        <w:rPr>
          <w:rFonts w:hint="eastAsia" w:ascii="宋体" w:hAnsi="宋体" w:cs="宋体"/>
          <w:b/>
          <w:bCs/>
          <w:color w:val="auto"/>
          <w:sz w:val="24"/>
          <w:highlight w:val="none"/>
        </w:rPr>
        <w:t>注：评标办法前附表与正文文字表述不一致时，以评标办法前附表为准。若有补遗澄清说明的，以补遗澄清说明为准</w:t>
      </w:r>
      <w:r>
        <w:rPr>
          <w:rFonts w:hint="eastAsia" w:ascii="宋体" w:hAnsi="宋体" w:cs="宋体"/>
          <w:color w:val="auto"/>
          <w:sz w:val="24"/>
          <w:highlight w:val="none"/>
        </w:rPr>
        <w:br w:type="page"/>
      </w:r>
      <w:bookmarkStart w:id="455" w:name="_Toc16942"/>
      <w:bookmarkStart w:id="456" w:name="_Toc28962"/>
      <w:bookmarkStart w:id="457" w:name="_Toc19602"/>
      <w:r>
        <w:rPr>
          <w:rFonts w:hint="eastAsia" w:ascii="宋体" w:hAnsi="宋体" w:cs="宋体"/>
          <w:color w:val="auto"/>
          <w:szCs w:val="21"/>
          <w:highlight w:val="none"/>
        </w:rPr>
        <w:t>1.  评审方法</w:t>
      </w:r>
      <w:bookmarkEnd w:id="448"/>
      <w:bookmarkEnd w:id="449"/>
      <w:bookmarkEnd w:id="450"/>
      <w:bookmarkEnd w:id="451"/>
      <w:bookmarkEnd w:id="452"/>
      <w:bookmarkEnd w:id="453"/>
      <w:bookmarkEnd w:id="454"/>
      <w:bookmarkEnd w:id="455"/>
      <w:bookmarkEnd w:id="456"/>
      <w:bookmarkEnd w:id="457"/>
    </w:p>
    <w:p>
      <w:pPr>
        <w:autoSpaceDE w:val="0"/>
        <w:autoSpaceDN w:val="0"/>
        <w:adjustRightInd w:val="0"/>
        <w:snapToGrid w:val="0"/>
        <w:spacing w:line="440" w:lineRule="exact"/>
        <w:ind w:firstLine="420"/>
        <w:rPr>
          <w:rFonts w:ascii="宋体" w:hAnsi="宋体" w:cs="宋体"/>
          <w:color w:val="auto"/>
          <w:kern w:val="0"/>
          <w:szCs w:val="21"/>
          <w:highlight w:val="none"/>
        </w:rPr>
      </w:pPr>
      <w:bookmarkStart w:id="458" w:name="_Toc287607813"/>
      <w:bookmarkStart w:id="459" w:name="_Toc287620752"/>
      <w:bookmarkStart w:id="460" w:name="_Toc277082619"/>
      <w:bookmarkStart w:id="461" w:name="_Toc200513199"/>
      <w:bookmarkStart w:id="462" w:name="_Toc224103385"/>
      <w:r>
        <w:rPr>
          <w:rFonts w:hint="eastAsia" w:ascii="宋体" w:hAnsi="宋体" w:cs="宋体"/>
          <w:color w:val="auto"/>
          <w:kern w:val="0"/>
          <w:szCs w:val="21"/>
          <w:highlight w:val="none"/>
        </w:rPr>
        <w:t>本次评审采用综合评估法</w:t>
      </w:r>
      <w:r>
        <w:rPr>
          <w:rFonts w:hint="eastAsia" w:ascii="宋体" w:hAnsi="宋体" w:cs="宋体"/>
          <w:color w:val="auto"/>
          <w:spacing w:val="-47"/>
          <w:kern w:val="0"/>
          <w:szCs w:val="21"/>
          <w:highlight w:val="none"/>
        </w:rPr>
        <w:t>。</w:t>
      </w:r>
      <w:r>
        <w:rPr>
          <w:rFonts w:hint="eastAsia" w:ascii="宋体" w:hAnsi="宋体" w:cs="宋体"/>
          <w:color w:val="auto"/>
          <w:kern w:val="0"/>
          <w:szCs w:val="21"/>
          <w:highlight w:val="none"/>
        </w:rPr>
        <w:t xml:space="preserve">评审委员会按照本章第 </w:t>
      </w:r>
      <w:r>
        <w:rPr>
          <w:rFonts w:hint="eastAsia" w:ascii="宋体" w:hAnsi="宋体" w:cs="宋体"/>
          <w:color w:val="auto"/>
          <w:spacing w:val="1"/>
          <w:kern w:val="0"/>
          <w:szCs w:val="21"/>
          <w:highlight w:val="none"/>
        </w:rPr>
        <w:t>2</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2款</w:t>
      </w:r>
      <w:r>
        <w:rPr>
          <w:rFonts w:hint="eastAsia" w:ascii="宋体" w:hAnsi="宋体" w:cs="宋体"/>
          <w:color w:val="auto"/>
          <w:spacing w:val="-1"/>
          <w:kern w:val="0"/>
          <w:szCs w:val="21"/>
          <w:highlight w:val="none"/>
        </w:rPr>
        <w:t>规</w:t>
      </w:r>
      <w:r>
        <w:rPr>
          <w:rFonts w:hint="eastAsia" w:ascii="宋体" w:hAnsi="宋体" w:cs="宋体"/>
          <w:color w:val="auto"/>
          <w:kern w:val="0"/>
          <w:szCs w:val="21"/>
          <w:highlight w:val="none"/>
        </w:rPr>
        <w:t>定的评分标准进行打分，按得分由高到低顺序推荐中选候选人</w:t>
      </w:r>
      <w:r>
        <w:rPr>
          <w:rFonts w:hint="eastAsia" w:ascii="宋体" w:hAnsi="宋体" w:cs="宋体"/>
          <w:color w:val="auto"/>
          <w:spacing w:val="-20"/>
          <w:kern w:val="0"/>
          <w:szCs w:val="21"/>
          <w:highlight w:val="none"/>
        </w:rPr>
        <w:t>，</w:t>
      </w:r>
      <w:r>
        <w:rPr>
          <w:rFonts w:hint="eastAsia" w:ascii="宋体" w:hAnsi="宋体" w:cs="宋体"/>
          <w:color w:val="auto"/>
          <w:kern w:val="0"/>
          <w:szCs w:val="21"/>
          <w:highlight w:val="none"/>
        </w:rPr>
        <w:t>或根据比选人授权直接确定中选人</w:t>
      </w:r>
      <w:r>
        <w:rPr>
          <w:rFonts w:hint="eastAsia" w:ascii="宋体" w:hAnsi="宋体" w:cs="宋体"/>
          <w:color w:val="auto"/>
          <w:spacing w:val="-31"/>
          <w:kern w:val="0"/>
          <w:szCs w:val="21"/>
          <w:highlight w:val="none"/>
        </w:rPr>
        <w:t>，</w:t>
      </w:r>
      <w:r>
        <w:rPr>
          <w:rFonts w:hint="eastAsia" w:ascii="宋体" w:hAnsi="宋体" w:cs="宋体"/>
          <w:color w:val="auto"/>
          <w:kern w:val="0"/>
          <w:szCs w:val="21"/>
          <w:highlight w:val="none"/>
        </w:rPr>
        <w:t>但竞选报价低于其成本的除外；竞选人总得分相同时，以竞选总报价低者优先，竞选</w:t>
      </w:r>
      <w:r>
        <w:rPr>
          <w:rFonts w:hint="eastAsia" w:ascii="宋体" w:hAnsi="宋体" w:cs="MingLiU"/>
          <w:color w:val="auto"/>
          <w:kern w:val="0"/>
          <w:szCs w:val="21"/>
          <w:highlight w:val="none"/>
        </w:rPr>
        <w:t>报价也相等的，由招标人自行确定</w:t>
      </w:r>
      <w:r>
        <w:rPr>
          <w:rFonts w:hint="eastAsia" w:ascii="宋体" w:hAnsi="宋体" w:cs="宋体"/>
          <w:color w:val="auto"/>
          <w:kern w:val="0"/>
          <w:szCs w:val="21"/>
          <w:highlight w:val="none"/>
        </w:rPr>
        <w:t>。</w:t>
      </w:r>
    </w:p>
    <w:p>
      <w:pPr>
        <w:spacing w:line="440" w:lineRule="exact"/>
        <w:ind w:left="2"/>
        <w:rPr>
          <w:rFonts w:ascii="宋体" w:hAnsi="宋体" w:cs="宋体"/>
          <w:color w:val="auto"/>
          <w:szCs w:val="21"/>
          <w:highlight w:val="none"/>
        </w:rPr>
      </w:pPr>
      <w:bookmarkStart w:id="463" w:name="_Toc1097"/>
      <w:bookmarkStart w:id="464" w:name="_Toc421694778"/>
      <w:bookmarkStart w:id="465" w:name="_Toc1759"/>
      <w:bookmarkStart w:id="466" w:name="_Toc19751"/>
      <w:bookmarkStart w:id="467" w:name="_Toc430206017"/>
      <w:r>
        <w:rPr>
          <w:rFonts w:hint="eastAsia" w:ascii="宋体" w:hAnsi="宋体" w:cs="宋体"/>
          <w:color w:val="auto"/>
          <w:szCs w:val="21"/>
          <w:highlight w:val="none"/>
        </w:rPr>
        <w:t>2.  评审标准</w:t>
      </w:r>
      <w:bookmarkEnd w:id="458"/>
      <w:bookmarkEnd w:id="459"/>
      <w:bookmarkEnd w:id="460"/>
      <w:bookmarkEnd w:id="461"/>
      <w:bookmarkEnd w:id="462"/>
      <w:bookmarkEnd w:id="463"/>
      <w:bookmarkEnd w:id="464"/>
      <w:bookmarkEnd w:id="465"/>
      <w:bookmarkEnd w:id="466"/>
      <w:bookmarkEnd w:id="467"/>
    </w:p>
    <w:p>
      <w:pPr>
        <w:spacing w:line="440" w:lineRule="exact"/>
        <w:rPr>
          <w:rFonts w:ascii="宋体" w:hAnsi="宋体" w:cs="宋体"/>
          <w:color w:val="auto"/>
          <w:szCs w:val="21"/>
          <w:highlight w:val="none"/>
        </w:rPr>
      </w:pPr>
      <w:bookmarkStart w:id="468" w:name="_Toc200513200"/>
      <w:bookmarkStart w:id="469" w:name="_Toc430206018"/>
      <w:bookmarkStart w:id="470" w:name="_Toc287607814"/>
      <w:bookmarkStart w:id="471" w:name="_Toc287620753"/>
      <w:bookmarkStart w:id="472" w:name="_Toc421694779"/>
      <w:bookmarkStart w:id="473" w:name="_Toc277082620"/>
      <w:bookmarkStart w:id="474" w:name="_Toc224103386"/>
      <w:bookmarkStart w:id="475" w:name="_Hlt466366840"/>
      <w:r>
        <w:rPr>
          <w:rFonts w:hint="eastAsia" w:ascii="宋体" w:hAnsi="宋体" w:cs="宋体"/>
          <w:color w:val="auto"/>
          <w:szCs w:val="21"/>
          <w:highlight w:val="none"/>
        </w:rPr>
        <w:t>2.1  初步评审标准</w:t>
      </w:r>
      <w:bookmarkEnd w:id="468"/>
      <w:bookmarkEnd w:id="469"/>
      <w:bookmarkEnd w:id="470"/>
      <w:bookmarkEnd w:id="471"/>
      <w:bookmarkEnd w:id="472"/>
      <w:bookmarkEnd w:id="473"/>
      <w:bookmarkEnd w:id="474"/>
    </w:p>
    <w:bookmarkEnd w:id="475"/>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2.1.1  形式评审标准：见评审办法前附表；</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2.1.2  资格评审标准：见评审办法前附表；</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2.1.3  响应性评审标准：见评审办法前附表。</w:t>
      </w:r>
    </w:p>
    <w:p>
      <w:pPr>
        <w:spacing w:line="440" w:lineRule="exact"/>
        <w:rPr>
          <w:rFonts w:ascii="宋体" w:hAnsi="宋体" w:cs="宋体"/>
          <w:color w:val="auto"/>
          <w:szCs w:val="21"/>
          <w:highlight w:val="none"/>
        </w:rPr>
      </w:pPr>
      <w:bookmarkStart w:id="476" w:name="_Toc200513201"/>
      <w:bookmarkStart w:id="477" w:name="_Toc430206019"/>
      <w:bookmarkStart w:id="478" w:name="_Toc277082621"/>
      <w:bookmarkStart w:id="479" w:name="_Toc287607815"/>
      <w:bookmarkStart w:id="480" w:name="_Toc224103387"/>
      <w:bookmarkStart w:id="481" w:name="_Toc421694780"/>
      <w:bookmarkStart w:id="482" w:name="_Toc287620754"/>
      <w:r>
        <w:rPr>
          <w:rFonts w:hint="eastAsia" w:ascii="宋体" w:hAnsi="宋体" w:cs="宋体"/>
          <w:color w:val="auto"/>
          <w:szCs w:val="21"/>
          <w:highlight w:val="none"/>
        </w:rPr>
        <w:t>2.2  分值构成与评分标准</w:t>
      </w:r>
      <w:bookmarkEnd w:id="476"/>
      <w:bookmarkEnd w:id="477"/>
      <w:bookmarkEnd w:id="478"/>
      <w:bookmarkEnd w:id="479"/>
      <w:bookmarkEnd w:id="480"/>
      <w:bookmarkEnd w:id="481"/>
      <w:bookmarkEnd w:id="482"/>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2.2.1  分值构成</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（1）竞选总报价：见评审办法前附表；</w:t>
      </w:r>
    </w:p>
    <w:p>
      <w:pPr>
        <w:autoSpaceDE w:val="0"/>
        <w:autoSpaceDN w:val="0"/>
        <w:adjustRightInd w:val="0"/>
        <w:snapToGrid w:val="0"/>
        <w:spacing w:line="440" w:lineRule="exact"/>
        <w:ind w:left="1" w:firstLine="535" w:firstLineChars="255"/>
        <w:jc w:val="left"/>
        <w:rPr>
          <w:color w:val="auto"/>
          <w:highlight w:val="none"/>
        </w:rPr>
      </w:pPr>
      <w:r>
        <w:rPr>
          <w:rFonts w:hint="eastAsia" w:ascii="宋体" w:hAnsi="宋体" w:cs="宋体"/>
          <w:color w:val="auto"/>
          <w:kern w:val="0"/>
          <w:szCs w:val="21"/>
          <w:highlight w:val="none"/>
        </w:rPr>
        <w:t>（2）技术方案：见评审办法前附表；</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2.2.2  评审基准价计算</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评审基准价计算方法：见评审办法前附表；</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2.2.3  竞选报价的偏差率计算；</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竞选报价的偏差率计算公式：见评审办法前附表。</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2.2.4  评分标准</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bookmarkStart w:id="483" w:name="pbbf_zh02"/>
      <w:bookmarkStart w:id="484" w:name="_Toc224103388"/>
      <w:bookmarkStart w:id="485" w:name="_Toc277082622"/>
      <w:bookmarkStart w:id="486" w:name="_Toc287607816"/>
      <w:bookmarkStart w:id="487" w:name="_Toc200513202"/>
      <w:bookmarkStart w:id="488" w:name="_Toc287620755"/>
      <w:r>
        <w:rPr>
          <w:rFonts w:hint="eastAsia" w:ascii="宋体" w:hAnsi="宋体" w:cs="宋体"/>
          <w:color w:val="auto"/>
          <w:kern w:val="0"/>
          <w:szCs w:val="21"/>
          <w:highlight w:val="none"/>
        </w:rPr>
        <w:t>（1）竞选报价评分标准：见评审办法前附表；</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（2）技术方案评分标准：见评审办法前附表</w:t>
      </w:r>
    </w:p>
    <w:bookmarkEnd w:id="483"/>
    <w:p>
      <w:pPr>
        <w:spacing w:line="440" w:lineRule="exact"/>
        <w:ind w:left="2"/>
        <w:rPr>
          <w:rFonts w:ascii="宋体" w:hAnsi="宋体" w:cs="宋体"/>
          <w:color w:val="auto"/>
          <w:szCs w:val="21"/>
          <w:highlight w:val="none"/>
        </w:rPr>
      </w:pPr>
      <w:bookmarkStart w:id="489" w:name="_Toc430206020"/>
      <w:bookmarkStart w:id="490" w:name="_Toc9407"/>
      <w:bookmarkStart w:id="491" w:name="_Toc13395"/>
      <w:bookmarkStart w:id="492" w:name="_Toc28959"/>
      <w:bookmarkStart w:id="493" w:name="_Toc421694781"/>
      <w:r>
        <w:rPr>
          <w:rFonts w:hint="eastAsia" w:ascii="宋体" w:hAnsi="宋体" w:cs="宋体"/>
          <w:color w:val="auto"/>
          <w:szCs w:val="21"/>
          <w:highlight w:val="none"/>
        </w:rPr>
        <w:t>3.  评审程序</w:t>
      </w:r>
      <w:bookmarkEnd w:id="484"/>
      <w:bookmarkEnd w:id="485"/>
      <w:bookmarkEnd w:id="486"/>
      <w:bookmarkEnd w:id="487"/>
      <w:bookmarkEnd w:id="488"/>
      <w:bookmarkEnd w:id="489"/>
      <w:bookmarkEnd w:id="490"/>
      <w:bookmarkEnd w:id="491"/>
      <w:bookmarkEnd w:id="492"/>
      <w:bookmarkEnd w:id="493"/>
    </w:p>
    <w:p>
      <w:pPr>
        <w:spacing w:line="440" w:lineRule="exact"/>
        <w:rPr>
          <w:rFonts w:ascii="宋体" w:hAnsi="宋体" w:cs="宋体"/>
          <w:color w:val="auto"/>
          <w:szCs w:val="21"/>
          <w:highlight w:val="none"/>
        </w:rPr>
      </w:pPr>
      <w:bookmarkStart w:id="494" w:name="_Toc224103389"/>
      <w:bookmarkStart w:id="495" w:name="_Toc200513203"/>
      <w:bookmarkStart w:id="496" w:name="_Toc421694782"/>
      <w:bookmarkStart w:id="497" w:name="_Toc287607817"/>
      <w:bookmarkStart w:id="498" w:name="_Toc277082623"/>
      <w:bookmarkStart w:id="499" w:name="_Toc287620756"/>
      <w:bookmarkStart w:id="500" w:name="_Toc430206021"/>
      <w:r>
        <w:rPr>
          <w:rFonts w:hint="eastAsia" w:ascii="宋体" w:hAnsi="宋体" w:cs="宋体"/>
          <w:color w:val="auto"/>
          <w:szCs w:val="21"/>
          <w:highlight w:val="none"/>
        </w:rPr>
        <w:t>3.1  初步评审</w:t>
      </w:r>
      <w:bookmarkEnd w:id="494"/>
      <w:bookmarkEnd w:id="495"/>
      <w:bookmarkEnd w:id="496"/>
      <w:bookmarkEnd w:id="497"/>
      <w:bookmarkEnd w:id="498"/>
      <w:bookmarkEnd w:id="499"/>
      <w:bookmarkEnd w:id="500"/>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3.1.1  评审委员会要求竞选人必须提交第二章“竞选人须知”第1.4.1项和第 3.5项规定的有关证明和证件的原件，以便核验。评审委员会依据本章第 2.1 款规定的标准对竞选文件进行初步评审。有一项不符合评审标准的，作废标处理。</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3.1.2  竞选人有以下情形之一的，其比选申请作废标处理：</w:t>
      </w:r>
    </w:p>
    <w:p>
      <w:pPr>
        <w:autoSpaceDE w:val="0"/>
        <w:autoSpaceDN w:val="0"/>
        <w:adjustRightInd w:val="0"/>
        <w:snapToGrid w:val="0"/>
        <w:spacing w:line="440" w:lineRule="exact"/>
        <w:ind w:firstLine="518"/>
        <w:jc w:val="left"/>
        <w:rPr>
          <w:rFonts w:ascii="宋体" w:hAnsi="宋体" w:cs="宋体"/>
          <w:color w:val="auto"/>
          <w:kern w:val="0"/>
          <w:szCs w:val="21"/>
          <w:highlight w:val="none"/>
        </w:rPr>
      </w:pPr>
      <w:r>
        <w:rPr>
          <w:rFonts w:hint="eastAsia" w:ascii="宋体" w:hAnsi="宋体" w:cs="宋体"/>
          <w:color w:val="auto"/>
          <w:kern w:val="0"/>
          <w:szCs w:val="21"/>
          <w:highlight w:val="none"/>
        </w:rPr>
        <w:t>（1）第二章“竞选人须知”第 1.4.3 项规定的任何一种情形的；</w:t>
      </w:r>
    </w:p>
    <w:p>
      <w:pPr>
        <w:autoSpaceDE w:val="0"/>
        <w:autoSpaceDN w:val="0"/>
        <w:adjustRightInd w:val="0"/>
        <w:snapToGrid w:val="0"/>
        <w:spacing w:line="440" w:lineRule="exact"/>
        <w:ind w:firstLine="518"/>
        <w:jc w:val="left"/>
        <w:rPr>
          <w:rFonts w:ascii="宋体" w:hAnsi="宋体" w:cs="宋体"/>
          <w:color w:val="auto"/>
          <w:kern w:val="0"/>
          <w:szCs w:val="21"/>
          <w:highlight w:val="none"/>
        </w:rPr>
      </w:pPr>
      <w:r>
        <w:rPr>
          <w:rFonts w:hint="eastAsia" w:ascii="宋体" w:hAnsi="宋体" w:cs="宋体"/>
          <w:color w:val="auto"/>
          <w:kern w:val="0"/>
          <w:szCs w:val="21"/>
          <w:highlight w:val="none"/>
        </w:rPr>
        <w:t>（2）串通比选申请或弄虚作假或有其他违法行为的；</w:t>
      </w:r>
    </w:p>
    <w:p>
      <w:pPr>
        <w:autoSpaceDE w:val="0"/>
        <w:autoSpaceDN w:val="0"/>
        <w:adjustRightInd w:val="0"/>
        <w:snapToGrid w:val="0"/>
        <w:spacing w:line="440" w:lineRule="exact"/>
        <w:ind w:firstLine="518"/>
        <w:jc w:val="left"/>
        <w:rPr>
          <w:rFonts w:ascii="宋体" w:hAnsi="宋体" w:cs="宋体"/>
          <w:color w:val="auto"/>
          <w:kern w:val="0"/>
          <w:szCs w:val="21"/>
          <w:highlight w:val="none"/>
        </w:rPr>
      </w:pPr>
      <w:r>
        <w:rPr>
          <w:rFonts w:hint="eastAsia" w:ascii="宋体" w:hAnsi="宋体" w:cs="宋体"/>
          <w:color w:val="auto"/>
          <w:kern w:val="0"/>
          <w:szCs w:val="21"/>
          <w:highlight w:val="none"/>
        </w:rPr>
        <w:t>（3）不按评审委员会要求澄清、说明或补正的。</w:t>
      </w:r>
    </w:p>
    <w:p>
      <w:pPr>
        <w:autoSpaceDE w:val="0"/>
        <w:autoSpaceDN w:val="0"/>
        <w:adjustRightInd w:val="0"/>
        <w:snapToGrid w:val="0"/>
        <w:spacing w:line="440" w:lineRule="exact"/>
        <w:ind w:firstLine="518"/>
        <w:jc w:val="left"/>
        <w:rPr>
          <w:rFonts w:ascii="宋体" w:hAnsi="宋体" w:cs="宋体"/>
          <w:color w:val="auto"/>
          <w:kern w:val="0"/>
          <w:szCs w:val="21"/>
          <w:highlight w:val="none"/>
        </w:rPr>
      </w:pPr>
      <w:r>
        <w:rPr>
          <w:rFonts w:hint="eastAsia" w:ascii="宋体" w:hAnsi="宋体" w:cs="宋体"/>
          <w:color w:val="auto"/>
          <w:kern w:val="0"/>
          <w:szCs w:val="21"/>
          <w:highlight w:val="none"/>
        </w:rPr>
        <w:t>（4）法律法规及本比选文件约定的其他情形。</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3.1.3  竞选报价有算术错误的，评审委员会按以下原则对竞选报价进行修正，修正的价格经竞选人书面确认后具有约束力。竞选人不接受修正价格的，其比选申请作废标处理。</w:t>
      </w:r>
    </w:p>
    <w:p>
      <w:pPr>
        <w:autoSpaceDE w:val="0"/>
        <w:autoSpaceDN w:val="0"/>
        <w:adjustRightInd w:val="0"/>
        <w:snapToGrid w:val="0"/>
        <w:spacing w:line="440" w:lineRule="exact"/>
        <w:ind w:firstLine="532"/>
        <w:jc w:val="left"/>
        <w:rPr>
          <w:rFonts w:ascii="宋体" w:hAnsi="宋体" w:cs="宋体"/>
          <w:color w:val="auto"/>
          <w:kern w:val="0"/>
          <w:szCs w:val="21"/>
          <w:highlight w:val="none"/>
        </w:rPr>
      </w:pPr>
      <w:r>
        <w:rPr>
          <w:rFonts w:hint="eastAsia" w:ascii="宋体" w:hAnsi="宋体" w:cs="宋体"/>
          <w:color w:val="auto"/>
          <w:kern w:val="0"/>
          <w:szCs w:val="21"/>
          <w:highlight w:val="none"/>
        </w:rPr>
        <w:t>（1）竞选文件中的大写金额与小写金额不一致的，以大写金额为准；</w:t>
      </w:r>
    </w:p>
    <w:p>
      <w:pPr>
        <w:autoSpaceDE w:val="0"/>
        <w:autoSpaceDN w:val="0"/>
        <w:adjustRightInd w:val="0"/>
        <w:snapToGrid w:val="0"/>
        <w:spacing w:line="440" w:lineRule="exact"/>
        <w:ind w:firstLine="532"/>
        <w:jc w:val="left"/>
        <w:rPr>
          <w:rFonts w:ascii="宋体" w:hAnsi="宋体" w:cs="宋体"/>
          <w:color w:val="auto"/>
          <w:kern w:val="0"/>
          <w:szCs w:val="21"/>
          <w:highlight w:val="none"/>
        </w:rPr>
      </w:pPr>
      <w:r>
        <w:rPr>
          <w:rFonts w:hint="eastAsia" w:ascii="宋体" w:hAnsi="宋体" w:cs="宋体"/>
          <w:color w:val="auto"/>
          <w:kern w:val="0"/>
          <w:szCs w:val="21"/>
          <w:highlight w:val="none"/>
        </w:rPr>
        <w:t>（2）总价金额与依据单价计算出的结果不一致的，以单价金额为准修正总价，但单价金额小数点有明显错误的除外。</w:t>
      </w:r>
    </w:p>
    <w:p>
      <w:pPr>
        <w:pStyle w:val="4"/>
        <w:spacing w:before="0" w:after="0" w:line="440" w:lineRule="exact"/>
        <w:rPr>
          <w:rFonts w:ascii="宋体" w:hAnsi="宋体" w:cs="宋体"/>
          <w:color w:val="auto"/>
          <w:sz w:val="21"/>
          <w:szCs w:val="21"/>
          <w:highlight w:val="none"/>
        </w:rPr>
      </w:pPr>
      <w:bookmarkStart w:id="501" w:name="_Toc200513204"/>
      <w:bookmarkStart w:id="502" w:name="_Toc224103390"/>
      <w:bookmarkStart w:id="503" w:name="_Toc287620757"/>
      <w:bookmarkStart w:id="504" w:name="_Toc277082624"/>
      <w:bookmarkStart w:id="505" w:name="_Toc287607818"/>
      <w:bookmarkStart w:id="506" w:name="_Toc430206022"/>
      <w:bookmarkStart w:id="507" w:name="_Toc421694783"/>
      <w:r>
        <w:rPr>
          <w:rFonts w:hint="eastAsia" w:ascii="宋体" w:hAnsi="宋体" w:cs="宋体"/>
          <w:color w:val="auto"/>
          <w:sz w:val="21"/>
          <w:szCs w:val="21"/>
          <w:highlight w:val="none"/>
        </w:rPr>
        <w:t>3.2  详细评审</w:t>
      </w:r>
      <w:bookmarkEnd w:id="501"/>
      <w:bookmarkEnd w:id="502"/>
      <w:bookmarkEnd w:id="503"/>
      <w:bookmarkEnd w:id="504"/>
      <w:bookmarkEnd w:id="505"/>
      <w:bookmarkEnd w:id="506"/>
      <w:bookmarkEnd w:id="507"/>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3.2.1  评审委员会按本章第2.2款规定的量化因素和分值进行打分，并计算出综合评估得分。</w:t>
      </w:r>
    </w:p>
    <w:p>
      <w:pPr>
        <w:autoSpaceDE w:val="0"/>
        <w:autoSpaceDN w:val="0"/>
        <w:adjustRightInd w:val="0"/>
        <w:snapToGrid w:val="0"/>
        <w:spacing w:line="440" w:lineRule="exact"/>
        <w:ind w:left="1050" w:leftChars="250" w:hanging="525" w:hangingChars="250"/>
        <w:jc w:val="left"/>
        <w:rPr>
          <w:rFonts w:ascii="宋体" w:hAnsi="宋体" w:cs="宋体"/>
          <w:color w:val="auto"/>
          <w:kern w:val="0"/>
          <w:szCs w:val="21"/>
          <w:highlight w:val="none"/>
        </w:rPr>
      </w:pPr>
      <w:r>
        <w:rPr>
          <w:rFonts w:hint="eastAsia" w:ascii="宋体" w:hAnsi="宋体" w:cs="宋体"/>
          <w:color w:val="auto"/>
          <w:kern w:val="0"/>
          <w:szCs w:val="21"/>
          <w:highlight w:val="none"/>
        </w:rPr>
        <w:t>（1）按本章第 2.2.4（1）目规定的评审因素和分值对竞选报价计算出得分A</w:t>
      </w:r>
      <w:bookmarkStart w:id="508" w:name="pbbf_zh03"/>
      <w:r>
        <w:rPr>
          <w:rFonts w:hint="eastAsia" w:ascii="宋体" w:hAnsi="宋体" w:cs="宋体"/>
          <w:color w:val="auto"/>
          <w:kern w:val="0"/>
          <w:szCs w:val="21"/>
          <w:highlight w:val="none"/>
        </w:rPr>
        <w:t>；</w:t>
      </w:r>
    </w:p>
    <w:p>
      <w:pPr>
        <w:autoSpaceDE w:val="0"/>
        <w:autoSpaceDN w:val="0"/>
        <w:adjustRightInd w:val="0"/>
        <w:snapToGrid w:val="0"/>
        <w:spacing w:line="440" w:lineRule="exact"/>
        <w:ind w:left="1050" w:leftChars="250" w:hanging="525" w:hangingChars="250"/>
        <w:jc w:val="left"/>
        <w:rPr>
          <w:rFonts w:ascii="宋体" w:hAnsi="宋体" w:cs="宋体"/>
          <w:color w:val="auto"/>
          <w:kern w:val="0"/>
          <w:szCs w:val="21"/>
          <w:highlight w:val="none"/>
        </w:rPr>
      </w:pPr>
      <w:r>
        <w:rPr>
          <w:rFonts w:hint="eastAsia" w:ascii="宋体" w:hAnsi="宋体" w:cs="宋体"/>
          <w:color w:val="auto"/>
          <w:kern w:val="0"/>
          <w:szCs w:val="21"/>
          <w:highlight w:val="none"/>
        </w:rPr>
        <w:t>（2）按本章第 2.2.4（2）目规定的评审因素和分值对竞选报价计算出得分B；</w:t>
      </w:r>
    </w:p>
    <w:bookmarkEnd w:id="508"/>
    <w:p>
      <w:pPr>
        <w:autoSpaceDE w:val="0"/>
        <w:autoSpaceDN w:val="0"/>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3.2.2  评分分值计算保留小数点后两位，小数点后第三位“四舍五入”。</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3.2.3  竞选人得分=</w:t>
      </w:r>
      <w:bookmarkStart w:id="509" w:name="pbbf_zh04"/>
      <w:r>
        <w:rPr>
          <w:rFonts w:hint="eastAsia" w:ascii="宋体" w:hAnsi="宋体" w:cs="宋体"/>
          <w:color w:val="auto"/>
          <w:kern w:val="0"/>
          <w:szCs w:val="21"/>
          <w:highlight w:val="none"/>
        </w:rPr>
        <w:t>A</w:t>
      </w:r>
      <w:bookmarkEnd w:id="509"/>
      <w:r>
        <w:rPr>
          <w:rFonts w:hint="eastAsia" w:ascii="宋体" w:hAnsi="宋体" w:cs="宋体"/>
          <w:color w:val="auto"/>
          <w:kern w:val="0"/>
          <w:szCs w:val="21"/>
          <w:highlight w:val="none"/>
        </w:rPr>
        <w:t>+B。</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3.2.4 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p>
      <w:pPr>
        <w:pStyle w:val="4"/>
        <w:spacing w:before="0" w:after="0" w:line="440" w:lineRule="exact"/>
        <w:rPr>
          <w:rFonts w:ascii="宋体" w:hAnsi="宋体" w:cs="宋体"/>
          <w:color w:val="auto"/>
          <w:sz w:val="21"/>
          <w:szCs w:val="21"/>
          <w:highlight w:val="none"/>
        </w:rPr>
      </w:pPr>
      <w:bookmarkStart w:id="510" w:name="_Toc421694784"/>
      <w:bookmarkStart w:id="511" w:name="_Toc287607819"/>
      <w:bookmarkStart w:id="512" w:name="_Toc200513205"/>
      <w:bookmarkStart w:id="513" w:name="_Toc430206023"/>
      <w:bookmarkStart w:id="514" w:name="_Toc224103391"/>
      <w:bookmarkStart w:id="515" w:name="_Toc287620758"/>
      <w:bookmarkStart w:id="516" w:name="_Toc277082625"/>
      <w:r>
        <w:rPr>
          <w:rFonts w:hint="eastAsia" w:ascii="宋体" w:hAnsi="宋体" w:cs="宋体"/>
          <w:color w:val="auto"/>
          <w:sz w:val="21"/>
          <w:szCs w:val="21"/>
          <w:highlight w:val="none"/>
        </w:rPr>
        <w:t>3.3  竞选文件的澄清和补正</w:t>
      </w:r>
      <w:bookmarkEnd w:id="510"/>
      <w:bookmarkEnd w:id="511"/>
      <w:bookmarkEnd w:id="512"/>
      <w:bookmarkEnd w:id="513"/>
      <w:bookmarkEnd w:id="514"/>
      <w:bookmarkEnd w:id="515"/>
      <w:bookmarkEnd w:id="516"/>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3.3.1  在评审过程中，评审委员会可以书面形式要求竞选人对所提交竞选文件中不明确的内容进行书面澄清或说明，或者对细微偏差进行补正。评审委员会不接受竞选人主动提出的澄清、说明或补正。</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3.3.2  澄清、说明和补正不得改变竞选文件的实质性内容（算术性错误修正的除外）。竞选人的书面澄清、说明和补正属于竞选文件的组成部分。</w:t>
      </w:r>
    </w:p>
    <w:p>
      <w:pPr>
        <w:autoSpaceDE w:val="0"/>
        <w:autoSpaceDN w:val="0"/>
        <w:adjustRightInd w:val="0"/>
        <w:snapToGrid w:val="0"/>
        <w:spacing w:line="440" w:lineRule="exact"/>
        <w:ind w:left="1" w:firstLine="535" w:firstLineChars="255"/>
        <w:jc w:val="left"/>
        <w:rPr>
          <w:rFonts w:ascii="宋体" w:hAnsi="宋体" w:cs="宋体"/>
          <w:color w:val="auto"/>
          <w:kern w:val="0"/>
          <w:szCs w:val="21"/>
          <w:highlight w:val="none"/>
        </w:rPr>
      </w:pPr>
      <w:r>
        <w:rPr>
          <w:rFonts w:hint="eastAsia" w:ascii="宋体" w:hAnsi="宋体" w:cs="宋体"/>
          <w:color w:val="auto"/>
          <w:kern w:val="0"/>
          <w:szCs w:val="21"/>
          <w:highlight w:val="none"/>
        </w:rPr>
        <w:t>3.3.3  评审委员会对竞选人提交的澄清、说明或补正有疑问的，可以要求竞选人进一步澄清、说明或补正，直至满足评审委员会的要求。</w:t>
      </w:r>
    </w:p>
    <w:p>
      <w:pPr>
        <w:pStyle w:val="4"/>
        <w:spacing w:before="0" w:after="0" w:line="440" w:lineRule="exact"/>
        <w:rPr>
          <w:rFonts w:ascii="宋体" w:hAnsi="宋体" w:cs="宋体"/>
          <w:color w:val="auto"/>
          <w:sz w:val="21"/>
          <w:szCs w:val="21"/>
          <w:highlight w:val="none"/>
        </w:rPr>
      </w:pPr>
      <w:bookmarkStart w:id="517" w:name="_Toc287620759"/>
      <w:bookmarkStart w:id="518" w:name="_Toc224103392"/>
      <w:bookmarkStart w:id="519" w:name="_Toc277082626"/>
      <w:bookmarkStart w:id="520" w:name="_Toc200513206"/>
      <w:bookmarkStart w:id="521" w:name="_Toc430206024"/>
      <w:bookmarkStart w:id="522" w:name="_Toc421694785"/>
      <w:bookmarkStart w:id="523" w:name="_Toc287607820"/>
      <w:r>
        <w:rPr>
          <w:rFonts w:hint="eastAsia" w:ascii="宋体" w:hAnsi="宋体" w:cs="宋体"/>
          <w:color w:val="auto"/>
          <w:sz w:val="21"/>
          <w:szCs w:val="21"/>
          <w:highlight w:val="none"/>
        </w:rPr>
        <w:t>3.4  评审结果</w:t>
      </w:r>
      <w:bookmarkEnd w:id="517"/>
      <w:bookmarkEnd w:id="518"/>
      <w:bookmarkEnd w:id="519"/>
      <w:bookmarkEnd w:id="520"/>
      <w:bookmarkEnd w:id="521"/>
      <w:bookmarkEnd w:id="522"/>
      <w:bookmarkEnd w:id="523"/>
    </w:p>
    <w:p>
      <w:pPr>
        <w:autoSpaceDE w:val="0"/>
        <w:autoSpaceDN w:val="0"/>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3.</w:t>
      </w:r>
      <w:r>
        <w:rPr>
          <w:rFonts w:hint="eastAsia" w:ascii="宋体" w:hAnsi="宋体" w:cs="宋体"/>
          <w:color w:val="auto"/>
          <w:spacing w:val="-1"/>
          <w:kern w:val="0"/>
          <w:szCs w:val="21"/>
          <w:highlight w:val="none"/>
        </w:rPr>
        <w:t>4</w:t>
      </w:r>
      <w:r>
        <w:rPr>
          <w:rFonts w:hint="eastAsia" w:ascii="宋体" w:hAnsi="宋体" w:cs="宋体"/>
          <w:color w:val="auto"/>
          <w:kern w:val="0"/>
          <w:szCs w:val="21"/>
          <w:highlight w:val="none"/>
        </w:rPr>
        <w:t>.1 除第二章“竞选人须知”前</w:t>
      </w:r>
      <w:r>
        <w:rPr>
          <w:rFonts w:hint="eastAsia" w:ascii="宋体" w:hAnsi="宋体" w:cs="宋体"/>
          <w:color w:val="auto"/>
          <w:spacing w:val="1"/>
          <w:kern w:val="0"/>
          <w:szCs w:val="21"/>
          <w:highlight w:val="none"/>
        </w:rPr>
        <w:t>附</w:t>
      </w:r>
      <w:r>
        <w:rPr>
          <w:rFonts w:hint="eastAsia" w:ascii="宋体" w:hAnsi="宋体" w:cs="宋体"/>
          <w:color w:val="auto"/>
          <w:kern w:val="0"/>
          <w:szCs w:val="21"/>
          <w:highlight w:val="none"/>
        </w:rPr>
        <w:t>表授权直</w:t>
      </w:r>
      <w:r>
        <w:rPr>
          <w:rFonts w:hint="eastAsia" w:ascii="宋体" w:hAnsi="宋体" w:cs="宋体"/>
          <w:color w:val="auto"/>
          <w:spacing w:val="1"/>
          <w:kern w:val="0"/>
          <w:szCs w:val="21"/>
          <w:highlight w:val="none"/>
        </w:rPr>
        <w:t>接</w:t>
      </w:r>
      <w:r>
        <w:rPr>
          <w:rFonts w:hint="eastAsia" w:ascii="宋体" w:hAnsi="宋体" w:cs="宋体"/>
          <w:color w:val="auto"/>
          <w:kern w:val="0"/>
          <w:szCs w:val="21"/>
          <w:highlight w:val="none"/>
        </w:rPr>
        <w:t>确定中选</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外，评审委员会按照</w:t>
      </w:r>
      <w:r>
        <w:rPr>
          <w:rFonts w:hint="eastAsia" w:ascii="宋体" w:hAnsi="宋体" w:cs="宋体"/>
          <w:color w:val="auto"/>
          <w:spacing w:val="1"/>
          <w:kern w:val="0"/>
          <w:szCs w:val="21"/>
          <w:highlight w:val="none"/>
        </w:rPr>
        <w:t>得分</w:t>
      </w:r>
      <w:r>
        <w:rPr>
          <w:rFonts w:hint="eastAsia" w:ascii="宋体" w:hAnsi="宋体" w:cs="宋体"/>
          <w:color w:val="auto"/>
          <w:kern w:val="0"/>
          <w:szCs w:val="21"/>
          <w:highlight w:val="none"/>
        </w:rPr>
        <w:t>由高到低的顺序推荐中选候选人。</w:t>
      </w:r>
    </w:p>
    <w:p>
      <w:pPr>
        <w:autoSpaceDE w:val="0"/>
        <w:autoSpaceDN w:val="0"/>
        <w:adjustRightInd w:val="0"/>
        <w:snapToGrid w:val="0"/>
        <w:spacing w:line="440" w:lineRule="exact"/>
        <w:jc w:val="left"/>
        <w:rPr>
          <w:rFonts w:ascii="宋体" w:hAnsi="宋体" w:cs="宋体"/>
          <w:color w:val="auto"/>
          <w:kern w:val="0"/>
          <w:szCs w:val="21"/>
          <w:highlight w:val="none"/>
        </w:rPr>
      </w:pPr>
      <w:r>
        <w:rPr>
          <w:rFonts w:hint="eastAsia" w:ascii="宋体" w:hAnsi="宋体" w:cs="宋体"/>
          <w:color w:val="auto"/>
          <w:spacing w:val="1"/>
          <w:kern w:val="0"/>
          <w:szCs w:val="21"/>
          <w:highlight w:val="none"/>
        </w:rPr>
        <w:t xml:space="preserve">     3</w:t>
      </w:r>
      <w:r>
        <w:rPr>
          <w:rFonts w:hint="eastAsia" w:ascii="宋体" w:hAnsi="宋体" w:cs="宋体"/>
          <w:color w:val="auto"/>
          <w:kern w:val="0"/>
          <w:szCs w:val="21"/>
          <w:highlight w:val="none"/>
        </w:rPr>
        <w:t>.4.2  评审委员会完成评审后，应当向比选人提交书面评审报告。</w:t>
      </w:r>
    </w:p>
    <w:p>
      <w:pPr>
        <w:spacing w:line="360" w:lineRule="auto"/>
        <w:rPr>
          <w:rFonts w:ascii="宋体" w:hAnsi="宋体" w:cs="宋体"/>
          <w:color w:val="auto"/>
          <w:szCs w:val="20"/>
          <w:highlight w:val="none"/>
        </w:rPr>
      </w:pPr>
      <w:r>
        <w:rPr>
          <w:rFonts w:hint="eastAsia" w:ascii="宋体" w:hAnsi="宋体" w:cs="宋体"/>
          <w:color w:val="auto"/>
          <w:kern w:val="0"/>
          <w:szCs w:val="21"/>
          <w:highlight w:val="none"/>
        </w:rPr>
        <w:br w:type="page"/>
      </w:r>
      <w:r>
        <w:rPr>
          <w:rFonts w:hint="eastAsia" w:ascii="宋体" w:hAnsi="宋体" w:cs="宋体"/>
          <w:color w:val="auto"/>
          <w:szCs w:val="20"/>
          <w:highlight w:val="none"/>
        </w:rPr>
        <w:t>附件A：废标条件</w:t>
      </w:r>
    </w:p>
    <w:p>
      <w:pPr>
        <w:pStyle w:val="21"/>
        <w:spacing w:line="360" w:lineRule="auto"/>
        <w:rPr>
          <w:rFonts w:ascii="宋体" w:hAnsi="宋体" w:cs="宋体"/>
          <w:color w:val="auto"/>
          <w:sz w:val="28"/>
          <w:szCs w:val="28"/>
          <w:highlight w:val="none"/>
          <w:lang w:eastAsia="zh-CN"/>
        </w:rPr>
      </w:pPr>
      <w:bookmarkStart w:id="524" w:name="招标文件03章02评标办法综合评估法02附件02"/>
      <w:bookmarkEnd w:id="524"/>
      <w:bookmarkStart w:id="525" w:name="招标文件04章合同条款及格式"/>
      <w:bookmarkEnd w:id="525"/>
      <w:r>
        <w:rPr>
          <w:rFonts w:hint="eastAsia" w:ascii="宋体" w:hAnsi="宋体" w:cs="宋体"/>
          <w:color w:val="auto"/>
          <w:sz w:val="28"/>
          <w:szCs w:val="28"/>
          <w:highlight w:val="none"/>
          <w:lang w:eastAsia="zh-CN"/>
        </w:rPr>
        <w:t>附件A：综合评估法废标情况一览表</w:t>
      </w:r>
    </w:p>
    <w:p>
      <w:pPr>
        <w:pStyle w:val="21"/>
        <w:spacing w:line="360" w:lineRule="auto"/>
        <w:jc w:val="both"/>
        <w:rPr>
          <w:rFonts w:ascii="宋体" w:hAnsi="宋体" w:cs="宋体"/>
          <w:b/>
          <w:color w:val="auto"/>
          <w:highlight w:val="none"/>
          <w:lang w:eastAsia="zh-CN"/>
        </w:rPr>
      </w:pPr>
      <w:r>
        <w:rPr>
          <w:rFonts w:hint="eastAsia" w:ascii="宋体" w:hAnsi="宋体" w:cs="宋体"/>
          <w:b/>
          <w:color w:val="auto"/>
          <w:highlight w:val="none"/>
          <w:lang w:eastAsia="zh-CN"/>
        </w:rPr>
        <w:t>一览表废标条件之外的评审委员会不得判为重大偏差。</w:t>
      </w:r>
    </w:p>
    <w:tbl>
      <w:tblPr>
        <w:tblStyle w:val="30"/>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1176"/>
        <w:gridCol w:w="6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406" w:type="dxa"/>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比选文件章节号</w:t>
            </w:r>
          </w:p>
        </w:tc>
        <w:tc>
          <w:tcPr>
            <w:tcW w:w="1176" w:type="dxa"/>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6658" w:type="dxa"/>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废标条件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1406" w:type="dxa"/>
            <w:vMerge w:val="restar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第二章3.2</w:t>
            </w:r>
          </w:p>
        </w:tc>
        <w:tc>
          <w:tcPr>
            <w:tcW w:w="1176" w:type="dxa"/>
            <w:vMerge w:val="restar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竞选报价</w:t>
            </w:r>
          </w:p>
        </w:tc>
        <w:tc>
          <w:tcPr>
            <w:tcW w:w="6658" w:type="dxa"/>
          </w:tcPr>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竞选人在工程量清单中多报的子目和单价或总价发包人将不予接受，并将被视为重大偏差。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1406" w:type="dxa"/>
            <w:vMerge w:val="continue"/>
            <w:vAlign w:val="center"/>
          </w:tcPr>
          <w:p>
            <w:pPr>
              <w:spacing w:line="360" w:lineRule="exact"/>
              <w:jc w:val="center"/>
              <w:rPr>
                <w:rFonts w:ascii="宋体" w:hAnsi="宋体" w:cs="宋体"/>
                <w:color w:val="auto"/>
                <w:szCs w:val="21"/>
                <w:highlight w:val="none"/>
              </w:rPr>
            </w:pPr>
          </w:p>
        </w:tc>
        <w:tc>
          <w:tcPr>
            <w:tcW w:w="1176" w:type="dxa"/>
            <w:vMerge w:val="continue"/>
            <w:vAlign w:val="center"/>
          </w:tcPr>
          <w:p>
            <w:pPr>
              <w:spacing w:line="360" w:lineRule="exact"/>
              <w:jc w:val="center"/>
              <w:rPr>
                <w:rFonts w:ascii="宋体" w:hAnsi="宋体" w:cs="宋体"/>
                <w:color w:val="auto"/>
                <w:szCs w:val="21"/>
                <w:highlight w:val="none"/>
              </w:rPr>
            </w:pPr>
          </w:p>
        </w:tc>
        <w:tc>
          <w:tcPr>
            <w:tcW w:w="6658" w:type="dxa"/>
          </w:tcPr>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比选人在工程量清单中所列出的价格（包括暂列金额、暂估价等），竞选人不得修改。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1406" w:type="dxa"/>
            <w:vMerge w:val="continue"/>
            <w:vAlign w:val="center"/>
          </w:tcPr>
          <w:p>
            <w:pPr>
              <w:spacing w:line="360" w:lineRule="exact"/>
              <w:jc w:val="center"/>
              <w:rPr>
                <w:rFonts w:ascii="宋体" w:hAnsi="宋体" w:cs="宋体"/>
                <w:color w:val="auto"/>
                <w:szCs w:val="21"/>
                <w:highlight w:val="none"/>
              </w:rPr>
            </w:pPr>
          </w:p>
        </w:tc>
        <w:tc>
          <w:tcPr>
            <w:tcW w:w="1176" w:type="dxa"/>
            <w:vMerge w:val="continue"/>
            <w:vAlign w:val="center"/>
          </w:tcPr>
          <w:p>
            <w:pPr>
              <w:spacing w:line="360" w:lineRule="exact"/>
              <w:jc w:val="center"/>
              <w:rPr>
                <w:rFonts w:ascii="宋体" w:hAnsi="宋体" w:cs="宋体"/>
                <w:color w:val="auto"/>
                <w:szCs w:val="21"/>
                <w:highlight w:val="none"/>
              </w:rPr>
            </w:pPr>
          </w:p>
        </w:tc>
        <w:tc>
          <w:tcPr>
            <w:tcW w:w="6658" w:type="dxa"/>
            <w:vAlign w:val="center"/>
          </w:tcPr>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如设置了最高限价，竞选人的竞选报价不得超过最高限价。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trPr>
        <w:tc>
          <w:tcPr>
            <w:tcW w:w="1406" w:type="dxa"/>
            <w:vMerge w:val="continue"/>
          </w:tcPr>
          <w:p>
            <w:pPr>
              <w:spacing w:line="360" w:lineRule="exact"/>
              <w:rPr>
                <w:rFonts w:ascii="宋体" w:hAnsi="宋体" w:cs="宋体"/>
                <w:color w:val="auto"/>
                <w:szCs w:val="21"/>
                <w:highlight w:val="none"/>
              </w:rPr>
            </w:pPr>
          </w:p>
        </w:tc>
        <w:tc>
          <w:tcPr>
            <w:tcW w:w="1176" w:type="dxa"/>
            <w:vMerge w:val="continue"/>
          </w:tcPr>
          <w:p>
            <w:pPr>
              <w:spacing w:line="360" w:lineRule="exact"/>
              <w:rPr>
                <w:rFonts w:ascii="宋体" w:hAnsi="宋体" w:cs="宋体"/>
                <w:color w:val="auto"/>
                <w:szCs w:val="21"/>
                <w:highlight w:val="none"/>
              </w:rPr>
            </w:pPr>
          </w:p>
        </w:tc>
        <w:tc>
          <w:tcPr>
            <w:tcW w:w="6658" w:type="dxa"/>
          </w:tcPr>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1406"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第二章3.7.5</w:t>
            </w:r>
          </w:p>
        </w:tc>
        <w:tc>
          <w:tcPr>
            <w:tcW w:w="1176"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装订要求</w:t>
            </w:r>
          </w:p>
        </w:tc>
        <w:tc>
          <w:tcPr>
            <w:tcW w:w="6658" w:type="dxa"/>
            <w:vAlign w:val="center"/>
          </w:tcPr>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按比选文件规定。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1406"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第二章3.4</w:t>
            </w:r>
          </w:p>
        </w:tc>
        <w:tc>
          <w:tcPr>
            <w:tcW w:w="1176"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比选保证金</w:t>
            </w:r>
          </w:p>
        </w:tc>
        <w:tc>
          <w:tcPr>
            <w:tcW w:w="6658" w:type="dxa"/>
          </w:tcPr>
          <w:p>
            <w:pPr>
              <w:spacing w:line="360" w:lineRule="exact"/>
              <w:ind w:firstLine="420" w:firstLineChars="200"/>
              <w:rPr>
                <w:rFonts w:ascii="宋体" w:hAnsi="宋体" w:cs="宋体"/>
                <w:color w:val="auto"/>
                <w:szCs w:val="21"/>
                <w:highlight w:val="none"/>
              </w:rPr>
            </w:pPr>
            <w:r>
              <w:rPr>
                <w:rFonts w:hint="eastAsia" w:ascii="宋体" w:hAnsi="宋体" w:cs="宋体"/>
                <w:snapToGrid w:val="0"/>
                <w:color w:val="auto"/>
                <w:kern w:val="0"/>
                <w:szCs w:val="21"/>
                <w:highlight w:val="none"/>
              </w:rPr>
              <w:t>竞选人在递交竞选文件的同时，应按竞选人须知前附表规定的金额、担保形式递交比选保证金，并作为其竞选文件的组成部分。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1406" w:type="dxa"/>
            <w:vMerge w:val="restar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第三章3.1</w:t>
            </w:r>
          </w:p>
        </w:tc>
        <w:tc>
          <w:tcPr>
            <w:tcW w:w="1176" w:type="dxa"/>
            <w:vMerge w:val="restar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初步评审</w:t>
            </w:r>
          </w:p>
        </w:tc>
        <w:tc>
          <w:tcPr>
            <w:tcW w:w="6658" w:type="dxa"/>
          </w:tcPr>
          <w:p>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评审委员会依据本章第 </w:t>
            </w:r>
            <w:r>
              <w:rPr>
                <w:rFonts w:hint="eastAsia" w:ascii="宋体" w:hAnsi="宋体" w:cs="宋体"/>
                <w:color w:val="auto"/>
                <w:spacing w:val="1"/>
                <w:kern w:val="0"/>
                <w:szCs w:val="21"/>
                <w:highlight w:val="none"/>
              </w:rPr>
              <w:t>2</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1</w:t>
            </w:r>
            <w:r>
              <w:rPr>
                <w:rFonts w:hint="eastAsia" w:ascii="宋体" w:hAnsi="宋体" w:cs="宋体"/>
                <w:color w:val="auto"/>
                <w:spacing w:val="-1"/>
                <w:kern w:val="0"/>
                <w:szCs w:val="21"/>
                <w:highlight w:val="none"/>
              </w:rPr>
              <w:t>款（包括</w:t>
            </w:r>
            <w:r>
              <w:rPr>
                <w:rFonts w:hint="eastAsia" w:ascii="宋体" w:hAnsi="宋体" w:cs="宋体"/>
                <w:color w:val="auto"/>
                <w:kern w:val="0"/>
                <w:szCs w:val="21"/>
                <w:highlight w:val="none"/>
              </w:rPr>
              <w:t>第 2.1.1 项、第 2.1.2 项、第 2.1.3 项</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规定的标准对竞选文件进行初步评审。有一项不符合评审标准的，作废标处理。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trPr>
        <w:tc>
          <w:tcPr>
            <w:tcW w:w="1406" w:type="dxa"/>
            <w:vMerge w:val="continue"/>
          </w:tcPr>
          <w:p>
            <w:pPr>
              <w:spacing w:line="360" w:lineRule="exact"/>
              <w:rPr>
                <w:rFonts w:ascii="宋体" w:hAnsi="宋体" w:cs="宋体"/>
                <w:color w:val="auto"/>
                <w:szCs w:val="21"/>
                <w:highlight w:val="none"/>
              </w:rPr>
            </w:pPr>
          </w:p>
        </w:tc>
        <w:tc>
          <w:tcPr>
            <w:tcW w:w="1176" w:type="dxa"/>
            <w:vMerge w:val="continue"/>
          </w:tcPr>
          <w:p>
            <w:pPr>
              <w:spacing w:line="360" w:lineRule="exact"/>
              <w:rPr>
                <w:rFonts w:ascii="宋体" w:hAnsi="宋体" w:cs="宋体"/>
                <w:color w:val="auto"/>
                <w:szCs w:val="21"/>
                <w:highlight w:val="none"/>
              </w:rPr>
            </w:pPr>
          </w:p>
        </w:tc>
        <w:tc>
          <w:tcPr>
            <w:tcW w:w="6658" w:type="dxa"/>
          </w:tcPr>
          <w:p>
            <w:pPr>
              <w:autoSpaceDE w:val="0"/>
              <w:autoSpaceDN w:val="0"/>
              <w:adjustRightInd w:val="0"/>
              <w:snapToGrid w:val="0"/>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竞选人有以下情形之一的，其比选申请作废标处理：</w:t>
            </w:r>
          </w:p>
          <w:p>
            <w:pPr>
              <w:autoSpaceDE w:val="0"/>
              <w:autoSpaceDN w:val="0"/>
              <w:adjustRightInd w:val="0"/>
              <w:snapToGrid w:val="0"/>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1</w:t>
            </w:r>
            <w:r>
              <w:rPr>
                <w:rFonts w:hint="eastAsia" w:ascii="宋体" w:hAnsi="宋体" w:cs="宋体"/>
                <w:color w:val="auto"/>
                <w:kern w:val="0"/>
                <w:szCs w:val="21"/>
                <w:highlight w:val="none"/>
              </w:rPr>
              <w:t>）第二</w:t>
            </w:r>
            <w:r>
              <w:rPr>
                <w:rFonts w:hint="eastAsia" w:ascii="宋体" w:hAnsi="宋体" w:cs="宋体"/>
                <w:color w:val="auto"/>
                <w:spacing w:val="-1"/>
                <w:kern w:val="0"/>
                <w:szCs w:val="21"/>
                <w:highlight w:val="none"/>
              </w:rPr>
              <w:t>章</w:t>
            </w:r>
            <w:r>
              <w:rPr>
                <w:rFonts w:hint="eastAsia" w:ascii="宋体" w:hAnsi="宋体" w:cs="宋体"/>
                <w:color w:val="auto"/>
                <w:kern w:val="0"/>
                <w:szCs w:val="21"/>
                <w:highlight w:val="none"/>
              </w:rPr>
              <w:t xml:space="preserve">“竞选人须知”第 </w:t>
            </w:r>
            <w:r>
              <w:rPr>
                <w:rFonts w:hint="eastAsia" w:ascii="宋体" w:hAnsi="宋体" w:cs="宋体"/>
                <w:color w:val="auto"/>
                <w:spacing w:val="1"/>
                <w:kern w:val="0"/>
                <w:szCs w:val="21"/>
                <w:highlight w:val="none"/>
              </w:rPr>
              <w:t>1</w:t>
            </w:r>
            <w:r>
              <w:rPr>
                <w:rFonts w:hint="eastAsia" w:ascii="宋体" w:hAnsi="宋体" w:cs="宋体"/>
                <w:color w:val="auto"/>
                <w:spacing w:val="-1"/>
                <w:kern w:val="0"/>
                <w:szCs w:val="21"/>
                <w:highlight w:val="none"/>
              </w:rPr>
              <w:t>.</w:t>
            </w:r>
            <w:r>
              <w:rPr>
                <w:rFonts w:hint="eastAsia" w:ascii="宋体" w:hAnsi="宋体" w:cs="宋体"/>
                <w:color w:val="auto"/>
                <w:spacing w:val="1"/>
                <w:kern w:val="0"/>
                <w:szCs w:val="21"/>
                <w:highlight w:val="none"/>
              </w:rPr>
              <w:t>4</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3 项规定的任何一种情形的；</w:t>
            </w:r>
          </w:p>
          <w:p>
            <w:pPr>
              <w:autoSpaceDE w:val="0"/>
              <w:autoSpaceDN w:val="0"/>
              <w:adjustRightInd w:val="0"/>
              <w:snapToGrid w:val="0"/>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2</w:t>
            </w:r>
            <w:r>
              <w:rPr>
                <w:rFonts w:hint="eastAsia" w:ascii="宋体" w:hAnsi="宋体" w:cs="宋体"/>
                <w:color w:val="auto"/>
                <w:kern w:val="0"/>
                <w:szCs w:val="21"/>
                <w:highlight w:val="none"/>
              </w:rPr>
              <w:t>）串通</w:t>
            </w:r>
            <w:r>
              <w:rPr>
                <w:rFonts w:hint="eastAsia" w:ascii="宋体" w:hAnsi="宋体" w:cs="宋体"/>
                <w:color w:val="auto"/>
                <w:spacing w:val="-1"/>
                <w:kern w:val="0"/>
                <w:szCs w:val="21"/>
                <w:highlight w:val="none"/>
              </w:rPr>
              <w:t>比选申请</w:t>
            </w:r>
            <w:r>
              <w:rPr>
                <w:rFonts w:hint="eastAsia" w:ascii="宋体" w:hAnsi="宋体" w:cs="宋体"/>
                <w:color w:val="auto"/>
                <w:kern w:val="0"/>
                <w:szCs w:val="21"/>
                <w:highlight w:val="none"/>
              </w:rPr>
              <w:t>或弄虚作假或有其他违法行为的；</w:t>
            </w:r>
          </w:p>
          <w:p>
            <w:pPr>
              <w:autoSpaceDE w:val="0"/>
              <w:autoSpaceDN w:val="0"/>
              <w:adjustRightInd w:val="0"/>
              <w:snapToGrid w:val="0"/>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3</w:t>
            </w:r>
            <w:r>
              <w:rPr>
                <w:rFonts w:hint="eastAsia" w:ascii="宋体" w:hAnsi="宋体" w:cs="宋体"/>
                <w:color w:val="auto"/>
                <w:kern w:val="0"/>
                <w:szCs w:val="21"/>
                <w:highlight w:val="none"/>
              </w:rPr>
              <w:t>）不按</w:t>
            </w:r>
            <w:r>
              <w:rPr>
                <w:rFonts w:hint="eastAsia" w:ascii="宋体" w:hAnsi="宋体" w:cs="宋体"/>
                <w:color w:val="auto"/>
                <w:spacing w:val="-1"/>
                <w:kern w:val="0"/>
                <w:szCs w:val="21"/>
                <w:highlight w:val="none"/>
              </w:rPr>
              <w:t>评审委员会</w:t>
            </w:r>
            <w:r>
              <w:rPr>
                <w:rFonts w:hint="eastAsia" w:ascii="宋体" w:hAnsi="宋体" w:cs="宋体"/>
                <w:color w:val="auto"/>
                <w:kern w:val="0"/>
                <w:szCs w:val="21"/>
                <w:highlight w:val="none"/>
              </w:rPr>
              <w:t>要求澄清、说明或补正的；</w:t>
            </w:r>
          </w:p>
          <w:p>
            <w:pPr>
              <w:autoSpaceDE w:val="0"/>
              <w:autoSpaceDN w:val="0"/>
              <w:adjustRightInd w:val="0"/>
              <w:snapToGrid w:val="0"/>
              <w:spacing w:line="360" w:lineRule="exact"/>
              <w:jc w:val="left"/>
              <w:rPr>
                <w:rFonts w:ascii="宋体" w:hAnsi="宋体" w:cs="宋体"/>
                <w:color w:val="auto"/>
                <w:szCs w:val="21"/>
                <w:highlight w:val="none"/>
              </w:rPr>
            </w:pPr>
            <w:r>
              <w:rPr>
                <w:rFonts w:hint="eastAsia" w:ascii="宋体" w:hAnsi="宋体" w:cs="宋体"/>
                <w:color w:val="auto"/>
                <w:kern w:val="0"/>
                <w:szCs w:val="21"/>
                <w:highlight w:val="none"/>
              </w:rPr>
              <w:t>（4）法律法规及本比选文件约定的其他情形。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406" w:type="dxa"/>
            <w:vMerge w:val="continue"/>
          </w:tcPr>
          <w:p>
            <w:pPr>
              <w:spacing w:line="360" w:lineRule="exact"/>
              <w:rPr>
                <w:rFonts w:ascii="宋体" w:hAnsi="宋体" w:cs="宋体"/>
                <w:color w:val="auto"/>
                <w:szCs w:val="21"/>
                <w:highlight w:val="none"/>
              </w:rPr>
            </w:pPr>
          </w:p>
        </w:tc>
        <w:tc>
          <w:tcPr>
            <w:tcW w:w="1176" w:type="dxa"/>
            <w:vMerge w:val="continue"/>
          </w:tcPr>
          <w:p>
            <w:pPr>
              <w:spacing w:line="360" w:lineRule="exact"/>
              <w:rPr>
                <w:rFonts w:ascii="宋体" w:hAnsi="宋体" w:cs="宋体"/>
                <w:color w:val="auto"/>
                <w:szCs w:val="21"/>
                <w:highlight w:val="none"/>
              </w:rPr>
            </w:pPr>
          </w:p>
        </w:tc>
        <w:tc>
          <w:tcPr>
            <w:tcW w:w="6658" w:type="dxa"/>
          </w:tcPr>
          <w:p>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竞选报价有算术</w:t>
            </w:r>
            <w:r>
              <w:rPr>
                <w:rFonts w:hint="eastAsia" w:ascii="宋体" w:hAnsi="宋体" w:cs="宋体"/>
                <w:color w:val="auto"/>
                <w:spacing w:val="1"/>
                <w:kern w:val="0"/>
                <w:szCs w:val="21"/>
                <w:highlight w:val="none"/>
              </w:rPr>
              <w:t>错</w:t>
            </w:r>
            <w:r>
              <w:rPr>
                <w:rFonts w:hint="eastAsia" w:ascii="宋体" w:hAnsi="宋体" w:cs="宋体"/>
                <w:color w:val="auto"/>
                <w:kern w:val="0"/>
                <w:szCs w:val="21"/>
                <w:highlight w:val="none"/>
              </w:rPr>
              <w:t>误的，评审委员会按比选文件规定的原则对</w:t>
            </w:r>
            <w:r>
              <w:rPr>
                <w:rFonts w:hint="eastAsia" w:ascii="宋体" w:hAnsi="宋体" w:cs="宋体"/>
                <w:color w:val="auto"/>
                <w:spacing w:val="1"/>
                <w:kern w:val="0"/>
                <w:szCs w:val="21"/>
                <w:highlight w:val="none"/>
              </w:rPr>
              <w:t>竞选报价</w:t>
            </w:r>
            <w:r>
              <w:rPr>
                <w:rFonts w:hint="eastAsia" w:ascii="宋体" w:hAnsi="宋体" w:cs="宋体"/>
                <w:color w:val="auto"/>
                <w:kern w:val="0"/>
                <w:szCs w:val="21"/>
                <w:highlight w:val="none"/>
              </w:rPr>
              <w:t>进</w:t>
            </w:r>
            <w:r>
              <w:rPr>
                <w:rFonts w:hint="eastAsia" w:ascii="宋体" w:hAnsi="宋体" w:cs="宋体"/>
                <w:color w:val="auto"/>
                <w:spacing w:val="1"/>
                <w:kern w:val="0"/>
                <w:szCs w:val="21"/>
                <w:highlight w:val="none"/>
              </w:rPr>
              <w:t>行</w:t>
            </w:r>
            <w:r>
              <w:rPr>
                <w:rFonts w:hint="eastAsia" w:ascii="宋体" w:hAnsi="宋体" w:cs="宋体"/>
                <w:color w:val="auto"/>
                <w:kern w:val="0"/>
                <w:szCs w:val="21"/>
                <w:highlight w:val="none"/>
              </w:rPr>
              <w:t>修正，修</w:t>
            </w:r>
            <w:r>
              <w:rPr>
                <w:rFonts w:hint="eastAsia" w:ascii="宋体" w:hAnsi="宋体" w:cs="宋体"/>
                <w:color w:val="auto"/>
                <w:spacing w:val="1"/>
                <w:kern w:val="0"/>
                <w:szCs w:val="21"/>
                <w:highlight w:val="none"/>
              </w:rPr>
              <w:t>正的</w:t>
            </w:r>
            <w:r>
              <w:rPr>
                <w:rFonts w:hint="eastAsia" w:ascii="宋体" w:hAnsi="宋体" w:cs="宋体"/>
                <w:color w:val="auto"/>
                <w:kern w:val="0"/>
                <w:szCs w:val="21"/>
                <w:highlight w:val="none"/>
              </w:rPr>
              <w:t>价格经竞选人书面确认后具有约束力。竞选人不接受修正价格的，其投标将被否决。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1406" w:type="dxa"/>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1176" w:type="dxa"/>
            <w:vAlign w:val="center"/>
          </w:tcPr>
          <w:p>
            <w:pPr>
              <w:spacing w:line="360" w:lineRule="exact"/>
              <w:jc w:val="center"/>
              <w:rPr>
                <w:rFonts w:ascii="宋体" w:hAnsi="宋体" w:cs="宋体"/>
                <w:color w:val="auto"/>
                <w:kern w:val="0"/>
                <w:szCs w:val="21"/>
                <w:highlight w:val="none"/>
              </w:rPr>
            </w:pPr>
          </w:p>
        </w:tc>
        <w:tc>
          <w:tcPr>
            <w:tcW w:w="6658" w:type="dxa"/>
            <w:vAlign w:val="center"/>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1、竞选文件关键内容字迹模糊、无法辨认的。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2、竞选人同时提交两份或者多份内容不同的竞选文件。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3、竞选函中未填报工期或填报的工期超过比选文件规定的工期的；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4、竞选文件附有比选人不能接受的条件的。</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5、若在评比期间发现竞选人提供了虚假资料，竞选人的竞选文件将被否决。</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6、若经评标委员会审查，竞选人提供的复印件与原件不一致，则竞选文件将被否决。</w:t>
            </w:r>
          </w:p>
        </w:tc>
      </w:tr>
    </w:tbl>
    <w:p>
      <w:pPr>
        <w:widowControl/>
        <w:snapToGrid w:val="0"/>
        <w:jc w:val="center"/>
        <w:outlineLvl w:val="0"/>
        <w:rPr>
          <w:rFonts w:ascii="宋体" w:hAnsi="宋体" w:cs="宋体"/>
          <w:b/>
          <w:color w:val="auto"/>
          <w:kern w:val="0"/>
          <w:sz w:val="36"/>
          <w:szCs w:val="36"/>
          <w:highlight w:val="none"/>
        </w:rPr>
      </w:pPr>
      <w:bookmarkStart w:id="526" w:name="_Toc430206025"/>
      <w:r>
        <w:rPr>
          <w:rFonts w:hint="eastAsia" w:ascii="宋体" w:hAnsi="宋体" w:cs="宋体"/>
          <w:b/>
          <w:color w:val="auto"/>
          <w:kern w:val="0"/>
          <w:sz w:val="36"/>
          <w:szCs w:val="36"/>
          <w:highlight w:val="none"/>
        </w:rPr>
        <w:br w:type="page"/>
      </w:r>
      <w:bookmarkStart w:id="527" w:name="_Toc32165"/>
      <w:bookmarkStart w:id="528" w:name="_Toc2136"/>
      <w:bookmarkStart w:id="529" w:name="_Toc21207"/>
      <w:bookmarkStart w:id="530" w:name="_Toc17448"/>
      <w:r>
        <w:rPr>
          <w:rFonts w:hint="eastAsia" w:ascii="宋体" w:hAnsi="宋体" w:cs="宋体"/>
          <w:b/>
          <w:color w:val="auto"/>
          <w:kern w:val="0"/>
          <w:sz w:val="36"/>
          <w:szCs w:val="36"/>
          <w:highlight w:val="none"/>
        </w:rPr>
        <w:t>第四章  合同条款及格式</w:t>
      </w:r>
      <w:bookmarkEnd w:id="526"/>
      <w:bookmarkEnd w:id="527"/>
      <w:bookmarkEnd w:id="528"/>
      <w:bookmarkEnd w:id="529"/>
      <w:bookmarkEnd w:id="530"/>
    </w:p>
    <w:p>
      <w:pPr>
        <w:pStyle w:val="4"/>
        <w:spacing w:before="0" w:line="360" w:lineRule="auto"/>
        <w:jc w:val="center"/>
        <w:rPr>
          <w:rFonts w:ascii="宋体" w:hAnsi="宋体" w:cs="宋体"/>
          <w:color w:val="auto"/>
          <w:sz w:val="28"/>
          <w:highlight w:val="none"/>
        </w:rPr>
      </w:pPr>
      <w:bookmarkStart w:id="531" w:name="_Toc433623100"/>
      <w:bookmarkStart w:id="532" w:name="_Toc351203480"/>
      <w:bookmarkStart w:id="533" w:name="_Toc380397274"/>
      <w:bookmarkStart w:id="534" w:name="_Toc296890982"/>
      <w:bookmarkStart w:id="535" w:name="_Toc296503025"/>
    </w:p>
    <w:bookmarkEnd w:id="531"/>
    <w:bookmarkEnd w:id="532"/>
    <w:bookmarkEnd w:id="533"/>
    <w:bookmarkEnd w:id="534"/>
    <w:bookmarkEnd w:id="535"/>
    <w:p>
      <w:pPr>
        <w:pStyle w:val="3"/>
        <w:adjustRightInd w:val="0"/>
        <w:snapToGrid w:val="0"/>
        <w:spacing w:before="0" w:after="0" w:line="360" w:lineRule="auto"/>
        <w:jc w:val="center"/>
        <w:rPr>
          <w:rFonts w:ascii="宋体" w:hAnsi="宋体" w:eastAsia="宋体" w:cs="宋体"/>
          <w:snapToGrid w:val="0"/>
          <w:color w:val="auto"/>
          <w:sz w:val="21"/>
          <w:highlight w:val="none"/>
        </w:rPr>
      </w:pPr>
      <w:bookmarkStart w:id="536" w:name="_Toc15898"/>
      <w:bookmarkStart w:id="537" w:name="_Toc528660455"/>
      <w:r>
        <w:rPr>
          <w:rFonts w:hint="eastAsia" w:ascii="宋体" w:hAnsi="宋体" w:eastAsia="宋体" w:cs="宋体"/>
          <w:snapToGrid w:val="0"/>
          <w:color w:val="auto"/>
          <w:sz w:val="21"/>
          <w:highlight w:val="none"/>
        </w:rPr>
        <w:t>第一部分  合同协议书</w:t>
      </w:r>
      <w:bookmarkEnd w:id="536"/>
      <w:bookmarkEnd w:id="537"/>
    </w:p>
    <w:p>
      <w:pPr>
        <w:adjustRightInd w:val="0"/>
        <w:snapToGrid w:val="0"/>
        <w:spacing w:line="360" w:lineRule="auto"/>
        <w:rPr>
          <w:rFonts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p>
    <w:p>
      <w:pPr>
        <w:adjustRightInd w:val="0"/>
        <w:snapToGrid w:val="0"/>
        <w:spacing w:line="360" w:lineRule="auto"/>
        <w:rPr>
          <w:rFonts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        </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根据《中华人民共和国合同法》、《中华人民共和国建筑法》及有关法律规定，遵循平等、自愿、公平和诚实信用的原则，双方就工程施工及有关事项协商一致，共同达成如下协议：</w:t>
      </w:r>
    </w:p>
    <w:p>
      <w:pPr>
        <w:pStyle w:val="5"/>
        <w:adjustRightInd w:val="0"/>
        <w:snapToGrid w:val="0"/>
        <w:spacing w:line="360" w:lineRule="auto"/>
        <w:jc w:val="left"/>
        <w:rPr>
          <w:rFonts w:ascii="宋体" w:hAnsi="宋体" w:cs="宋体"/>
          <w:b/>
          <w:color w:val="auto"/>
          <w:szCs w:val="21"/>
          <w:highlight w:val="none"/>
        </w:rPr>
      </w:pPr>
      <w:bookmarkStart w:id="538" w:name="_Toc351203481"/>
      <w:r>
        <w:rPr>
          <w:rFonts w:hint="eastAsia" w:ascii="宋体" w:hAnsi="宋体" w:cs="宋体"/>
          <w:b/>
          <w:color w:val="auto"/>
          <w:szCs w:val="21"/>
          <w:highlight w:val="none"/>
        </w:rPr>
        <w:t>一、工程概况</w:t>
      </w:r>
      <w:bookmarkEnd w:id="538"/>
    </w:p>
    <w:p>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1.工程名称：</w:t>
      </w:r>
      <w:r>
        <w:rPr>
          <w:rFonts w:hint="eastAsia" w:ascii="宋体" w:hAnsi="宋体" w:cs="宋体"/>
          <w:bCs/>
          <w:color w:val="auto"/>
          <w:szCs w:val="21"/>
          <w:highlight w:val="none"/>
          <w:u w:val="single"/>
        </w:rPr>
        <w:t>                  </w:t>
      </w:r>
      <w:r>
        <w:rPr>
          <w:rFonts w:hint="eastAsia" w:ascii="宋体" w:hAnsi="宋体" w:cs="宋体"/>
          <w:bCs/>
          <w:color w:val="auto"/>
          <w:szCs w:val="21"/>
          <w:highlight w:val="none"/>
        </w:rPr>
        <w:t>。</w:t>
      </w:r>
    </w:p>
    <w:p>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群体工程应附《承包人承揽工程项目一览表》（附件1）。</w:t>
      </w:r>
    </w:p>
    <w:p>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6.工程承包范围：。</w:t>
      </w:r>
    </w:p>
    <w:p>
      <w:pPr>
        <w:pStyle w:val="5"/>
        <w:adjustRightInd w:val="0"/>
        <w:snapToGrid w:val="0"/>
        <w:spacing w:line="360" w:lineRule="auto"/>
        <w:jc w:val="left"/>
        <w:rPr>
          <w:rFonts w:ascii="宋体" w:hAnsi="宋体" w:cs="宋体"/>
          <w:b/>
          <w:color w:val="auto"/>
          <w:szCs w:val="21"/>
          <w:highlight w:val="none"/>
        </w:rPr>
      </w:pPr>
      <w:bookmarkStart w:id="539" w:name="_Toc351203482"/>
      <w:r>
        <w:rPr>
          <w:rFonts w:hint="eastAsia" w:ascii="宋体" w:hAnsi="宋体" w:cs="宋体"/>
          <w:b/>
          <w:color w:val="auto"/>
          <w:szCs w:val="21"/>
          <w:highlight w:val="none"/>
        </w:rPr>
        <w:t>二、合同工期</w:t>
      </w:r>
      <w:bookmarkEnd w:id="539"/>
    </w:p>
    <w:p>
      <w:pPr>
        <w:adjustRightInd w:val="0"/>
        <w:snapToGrid w:val="0"/>
        <w:spacing w:line="360" w:lineRule="auto"/>
        <w:ind w:firstLine="459"/>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pPr>
        <w:adjustRightInd w:val="0"/>
        <w:snapToGrid w:val="0"/>
        <w:spacing w:line="360" w:lineRule="auto"/>
        <w:ind w:firstLine="459"/>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pPr>
        <w:adjustRightInd w:val="0"/>
        <w:snapToGrid w:val="0"/>
        <w:spacing w:line="360" w:lineRule="auto"/>
        <w:ind w:firstLine="459"/>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w:t>
      </w:r>
      <w:r>
        <w:rPr>
          <w:rFonts w:hint="eastAsia" w:ascii="宋体" w:hAnsi="宋体" w:cs="宋体"/>
          <w:color w:val="auto"/>
          <w:szCs w:val="21"/>
          <w:highlight w:val="none"/>
        </w:rPr>
        <w:t>天。工期总日历天数与根据前述计划开竣工日期计算的工期天数不一致的，以工期总日历天数为准。</w:t>
      </w:r>
    </w:p>
    <w:p>
      <w:pPr>
        <w:pStyle w:val="5"/>
        <w:adjustRightInd w:val="0"/>
        <w:snapToGrid w:val="0"/>
        <w:spacing w:line="360" w:lineRule="auto"/>
        <w:jc w:val="left"/>
        <w:rPr>
          <w:rFonts w:ascii="宋体" w:hAnsi="宋体" w:cs="宋体"/>
          <w:b/>
          <w:color w:val="auto"/>
          <w:szCs w:val="21"/>
          <w:highlight w:val="none"/>
        </w:rPr>
      </w:pPr>
      <w:bookmarkStart w:id="540" w:name="_Toc351203483"/>
      <w:r>
        <w:rPr>
          <w:rFonts w:hint="eastAsia" w:ascii="宋体" w:hAnsi="宋体" w:cs="宋体"/>
          <w:b/>
          <w:color w:val="auto"/>
          <w:szCs w:val="21"/>
          <w:highlight w:val="none"/>
        </w:rPr>
        <w:t>三、质量标准</w:t>
      </w:r>
      <w:bookmarkEnd w:id="540"/>
    </w:p>
    <w:p>
      <w:pPr>
        <w:adjustRightInd w:val="0"/>
        <w:snapToGrid w:val="0"/>
        <w:spacing w:line="360" w:lineRule="auto"/>
        <w:ind w:firstLine="459"/>
        <w:rPr>
          <w:rFonts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w:t>
      </w:r>
      <w:r>
        <w:rPr>
          <w:rFonts w:hint="eastAsia" w:ascii="宋体" w:hAnsi="宋体" w:cs="宋体"/>
          <w:color w:val="auto"/>
          <w:szCs w:val="21"/>
          <w:highlight w:val="none"/>
        </w:rPr>
        <w:t>标准。</w:t>
      </w:r>
    </w:p>
    <w:p>
      <w:pPr>
        <w:pStyle w:val="5"/>
        <w:adjustRightInd w:val="0"/>
        <w:snapToGrid w:val="0"/>
        <w:spacing w:line="360" w:lineRule="auto"/>
        <w:jc w:val="left"/>
        <w:rPr>
          <w:rFonts w:ascii="宋体" w:hAnsi="宋体" w:cs="宋体"/>
          <w:b/>
          <w:color w:val="auto"/>
          <w:szCs w:val="21"/>
          <w:highlight w:val="none"/>
        </w:rPr>
      </w:pPr>
      <w:bookmarkStart w:id="541" w:name="_Toc351203484"/>
      <w:r>
        <w:rPr>
          <w:rFonts w:hint="eastAsia" w:ascii="宋体" w:hAnsi="宋体" w:cs="宋体"/>
          <w:b/>
          <w:color w:val="auto"/>
          <w:szCs w:val="21"/>
          <w:highlight w:val="none"/>
        </w:rPr>
        <w:t>四、签约合同价与合同价格形式</w:t>
      </w:r>
      <w:bookmarkEnd w:id="541"/>
      <w:r>
        <w:rPr>
          <w:rFonts w:hint="eastAsia" w:ascii="宋体" w:hAnsi="宋体" w:cs="宋体"/>
          <w:b/>
          <w:color w:val="auto"/>
          <w:szCs w:val="21"/>
          <w:highlight w:val="none"/>
        </w:rPr>
        <w:tab/>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人民币（大写）(¥元)；</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（1）安全文明施工费：</w:t>
      </w:r>
    </w:p>
    <w:p>
      <w:pPr>
        <w:adjustRightInd w:val="0"/>
        <w:snapToGrid w:val="0"/>
        <w:spacing w:line="360" w:lineRule="auto"/>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（2）材料和工程设备暂估价金额：</w:t>
      </w:r>
    </w:p>
    <w:p>
      <w:pPr>
        <w:adjustRightInd w:val="0"/>
        <w:snapToGrid w:val="0"/>
        <w:spacing w:line="360" w:lineRule="auto"/>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（3）专业工程暂估价金额：</w:t>
      </w:r>
    </w:p>
    <w:p>
      <w:pPr>
        <w:adjustRightInd w:val="0"/>
        <w:snapToGrid w:val="0"/>
        <w:spacing w:line="360" w:lineRule="auto"/>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pStyle w:val="5"/>
        <w:adjustRightInd w:val="0"/>
        <w:snapToGrid w:val="0"/>
        <w:spacing w:line="360" w:lineRule="auto"/>
        <w:jc w:val="left"/>
        <w:rPr>
          <w:rFonts w:ascii="宋体" w:hAnsi="宋体" w:cs="宋体"/>
          <w:b/>
          <w:color w:val="auto"/>
          <w:szCs w:val="21"/>
          <w:highlight w:val="none"/>
        </w:rPr>
      </w:pPr>
      <w:bookmarkStart w:id="542" w:name="_Toc351203485"/>
      <w:r>
        <w:rPr>
          <w:rFonts w:hint="eastAsia" w:ascii="宋体" w:hAnsi="宋体" w:cs="宋体"/>
          <w:b/>
          <w:color w:val="auto"/>
          <w:szCs w:val="21"/>
          <w:highlight w:val="none"/>
        </w:rPr>
        <w:t>五、</w:t>
      </w:r>
      <w:bookmarkEnd w:id="542"/>
      <w:r>
        <w:rPr>
          <w:rFonts w:hint="eastAsia" w:ascii="宋体" w:hAnsi="宋体" w:cs="宋体"/>
          <w:b/>
          <w:color w:val="auto"/>
          <w:szCs w:val="21"/>
          <w:highlight w:val="none"/>
        </w:rPr>
        <w:t>项目经理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pStyle w:val="5"/>
        <w:adjustRightInd w:val="0"/>
        <w:snapToGrid w:val="0"/>
        <w:spacing w:line="360" w:lineRule="auto"/>
        <w:jc w:val="left"/>
        <w:rPr>
          <w:rFonts w:ascii="宋体" w:hAnsi="宋体" w:cs="宋体"/>
          <w:b/>
          <w:color w:val="auto"/>
          <w:szCs w:val="21"/>
          <w:highlight w:val="none"/>
        </w:rPr>
      </w:pPr>
      <w:bookmarkStart w:id="543" w:name="_Toc351203486"/>
      <w:r>
        <w:rPr>
          <w:rFonts w:hint="eastAsia" w:ascii="宋体" w:hAnsi="宋体" w:cs="宋体"/>
          <w:b/>
          <w:color w:val="auto"/>
          <w:szCs w:val="21"/>
          <w:highlight w:val="none"/>
        </w:rPr>
        <w:t>六、合同文件构成</w:t>
      </w:r>
      <w:bookmarkEnd w:id="543"/>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（1）中标通知书（如果有）；</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5"/>
        <w:adjustRightInd w:val="0"/>
        <w:snapToGrid w:val="0"/>
        <w:spacing w:line="360" w:lineRule="auto"/>
        <w:jc w:val="left"/>
        <w:rPr>
          <w:rFonts w:ascii="宋体" w:hAnsi="宋体" w:cs="宋体"/>
          <w:b/>
          <w:color w:val="auto"/>
          <w:szCs w:val="21"/>
          <w:highlight w:val="none"/>
        </w:rPr>
      </w:pPr>
      <w:bookmarkStart w:id="544" w:name="_Toc351203487"/>
      <w:r>
        <w:rPr>
          <w:rFonts w:hint="eastAsia" w:ascii="宋体" w:hAnsi="宋体" w:cs="宋体"/>
          <w:b/>
          <w:color w:val="auto"/>
          <w:szCs w:val="21"/>
          <w:highlight w:val="none"/>
        </w:rPr>
        <w:t>七、承诺</w:t>
      </w:r>
      <w:bookmarkEnd w:id="544"/>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pPr>
        <w:pStyle w:val="5"/>
        <w:adjustRightInd w:val="0"/>
        <w:snapToGrid w:val="0"/>
        <w:spacing w:line="360" w:lineRule="auto"/>
        <w:jc w:val="left"/>
        <w:rPr>
          <w:rFonts w:ascii="宋体" w:hAnsi="宋体" w:cs="宋体"/>
          <w:b/>
          <w:color w:val="auto"/>
          <w:szCs w:val="21"/>
          <w:highlight w:val="none"/>
        </w:rPr>
      </w:pPr>
      <w:bookmarkStart w:id="545" w:name="_Toc351203488"/>
      <w:r>
        <w:rPr>
          <w:rFonts w:hint="eastAsia" w:ascii="宋体" w:hAnsi="宋体" w:cs="宋体"/>
          <w:b/>
          <w:color w:val="auto"/>
          <w:szCs w:val="21"/>
          <w:highlight w:val="none"/>
        </w:rPr>
        <w:t xml:space="preserve">    八、词语含义</w:t>
      </w:r>
      <w:bookmarkEnd w:id="545"/>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pStyle w:val="5"/>
        <w:adjustRightInd w:val="0"/>
        <w:snapToGrid w:val="0"/>
        <w:spacing w:line="360" w:lineRule="auto"/>
        <w:jc w:val="left"/>
        <w:rPr>
          <w:rFonts w:ascii="宋体" w:hAnsi="宋体" w:cs="宋体"/>
          <w:b/>
          <w:color w:val="auto"/>
          <w:szCs w:val="21"/>
          <w:highlight w:val="none"/>
        </w:rPr>
      </w:pPr>
      <w:bookmarkStart w:id="546" w:name="_Toc351203489"/>
      <w:r>
        <w:rPr>
          <w:rFonts w:hint="eastAsia" w:ascii="宋体" w:hAnsi="宋体" w:cs="宋体"/>
          <w:b/>
          <w:color w:val="auto"/>
          <w:szCs w:val="21"/>
          <w:highlight w:val="none"/>
        </w:rPr>
        <w:t>九、签订时间</w:t>
      </w:r>
      <w:bookmarkEnd w:id="546"/>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
          <w:color w:val="auto"/>
          <w:szCs w:val="21"/>
          <w:highlight w:val="none"/>
        </w:rPr>
        <w:t>年月日</w:t>
      </w:r>
      <w:r>
        <w:rPr>
          <w:rFonts w:hint="eastAsia" w:ascii="宋体" w:hAnsi="宋体" w:cs="宋体"/>
          <w:bCs/>
          <w:color w:val="auto"/>
          <w:szCs w:val="21"/>
          <w:highlight w:val="none"/>
        </w:rPr>
        <w:t>签订。</w:t>
      </w:r>
    </w:p>
    <w:p>
      <w:pPr>
        <w:pStyle w:val="5"/>
        <w:adjustRightInd w:val="0"/>
        <w:snapToGrid w:val="0"/>
        <w:spacing w:line="360" w:lineRule="auto"/>
        <w:jc w:val="left"/>
        <w:rPr>
          <w:rFonts w:ascii="宋体" w:hAnsi="宋体" w:cs="宋体"/>
          <w:b/>
          <w:color w:val="auto"/>
          <w:szCs w:val="21"/>
          <w:highlight w:val="none"/>
        </w:rPr>
      </w:pPr>
      <w:bookmarkStart w:id="547" w:name="_Toc351203490"/>
      <w:r>
        <w:rPr>
          <w:rFonts w:hint="eastAsia" w:ascii="宋体" w:hAnsi="宋体" w:cs="宋体"/>
          <w:b/>
          <w:color w:val="auto"/>
          <w:szCs w:val="21"/>
          <w:highlight w:val="none"/>
        </w:rPr>
        <w:t>十、签订地点</w:t>
      </w:r>
      <w:bookmarkEnd w:id="547"/>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本合同在签订。</w:t>
      </w:r>
    </w:p>
    <w:p>
      <w:pPr>
        <w:pStyle w:val="5"/>
        <w:adjustRightInd w:val="0"/>
        <w:snapToGrid w:val="0"/>
        <w:spacing w:line="360" w:lineRule="auto"/>
        <w:jc w:val="left"/>
        <w:rPr>
          <w:rFonts w:ascii="宋体" w:hAnsi="宋体" w:cs="宋体"/>
          <w:b/>
          <w:color w:val="auto"/>
          <w:szCs w:val="21"/>
          <w:highlight w:val="none"/>
        </w:rPr>
      </w:pPr>
      <w:bookmarkStart w:id="548" w:name="_Toc351203491"/>
      <w:r>
        <w:rPr>
          <w:rFonts w:hint="eastAsia" w:ascii="宋体" w:hAnsi="宋体" w:cs="宋体"/>
          <w:b/>
          <w:color w:val="auto"/>
          <w:szCs w:val="21"/>
          <w:highlight w:val="none"/>
        </w:rPr>
        <w:t>十一、补充协议</w:t>
      </w:r>
      <w:bookmarkEnd w:id="548"/>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pStyle w:val="5"/>
        <w:adjustRightInd w:val="0"/>
        <w:snapToGrid w:val="0"/>
        <w:spacing w:line="360" w:lineRule="auto"/>
        <w:jc w:val="left"/>
        <w:rPr>
          <w:rFonts w:ascii="宋体" w:hAnsi="宋体" w:cs="宋体"/>
          <w:b/>
          <w:color w:val="auto"/>
          <w:szCs w:val="21"/>
          <w:highlight w:val="none"/>
        </w:rPr>
      </w:pPr>
      <w:bookmarkStart w:id="549" w:name="_Toc351203492"/>
      <w:r>
        <w:rPr>
          <w:rFonts w:hint="eastAsia" w:ascii="宋体" w:hAnsi="宋体" w:cs="宋体"/>
          <w:b/>
          <w:color w:val="auto"/>
          <w:szCs w:val="21"/>
          <w:highlight w:val="none"/>
        </w:rPr>
        <w:t>十二、合同生效</w:t>
      </w:r>
      <w:bookmarkEnd w:id="549"/>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本合同自生效。</w:t>
      </w:r>
    </w:p>
    <w:p>
      <w:pPr>
        <w:pStyle w:val="5"/>
        <w:adjustRightInd w:val="0"/>
        <w:snapToGrid w:val="0"/>
        <w:spacing w:line="360" w:lineRule="auto"/>
        <w:jc w:val="left"/>
        <w:rPr>
          <w:rFonts w:ascii="宋体" w:hAnsi="宋体" w:cs="宋体"/>
          <w:b/>
          <w:color w:val="auto"/>
          <w:szCs w:val="21"/>
          <w:highlight w:val="none"/>
        </w:rPr>
      </w:pPr>
      <w:bookmarkStart w:id="550" w:name="_Toc351203493"/>
      <w:r>
        <w:rPr>
          <w:rFonts w:hint="eastAsia" w:ascii="宋体" w:hAnsi="宋体" w:cs="宋体"/>
          <w:b/>
          <w:color w:val="auto"/>
          <w:szCs w:val="21"/>
          <w:highlight w:val="none"/>
        </w:rPr>
        <w:t>十三、合同份数</w:t>
      </w:r>
      <w:bookmarkEnd w:id="550"/>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拾</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陆</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肆 </w:t>
      </w:r>
      <w:r>
        <w:rPr>
          <w:rFonts w:hint="eastAsia" w:ascii="宋体" w:hAnsi="宋体" w:cs="宋体"/>
          <w:bCs/>
          <w:color w:val="auto"/>
          <w:szCs w:val="21"/>
          <w:highlight w:val="none"/>
        </w:rPr>
        <w:t>份。</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发包人：  (公章)             承包人：  (公章)</w:t>
      </w:r>
    </w:p>
    <w:p>
      <w:pPr>
        <w:adjustRightInd w:val="0"/>
        <w:snapToGrid w:val="0"/>
        <w:spacing w:line="360" w:lineRule="auto"/>
        <w:rPr>
          <w:rFonts w:ascii="宋体" w:hAnsi="宋体" w:cs="宋体"/>
          <w:color w:val="auto"/>
          <w:szCs w:val="21"/>
          <w:highlight w:val="none"/>
          <w:u w:val="single"/>
        </w:rPr>
      </w:pP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（签字）                    （签字）</w:t>
      </w:r>
    </w:p>
    <w:p>
      <w:pPr>
        <w:adjustRightInd w:val="0"/>
        <w:snapToGrid w:val="0"/>
        <w:spacing w:line="360" w:lineRule="auto"/>
        <w:rPr>
          <w:rFonts w:ascii="宋体" w:hAnsi="宋体" w:cs="宋体"/>
          <w:color w:val="auto"/>
          <w:szCs w:val="21"/>
          <w:highlight w:val="none"/>
          <w:u w:val="single"/>
        </w:rPr>
      </w:pPr>
    </w:p>
    <w:p>
      <w:pPr>
        <w:tabs>
          <w:tab w:val="left" w:pos="4410"/>
        </w:tabs>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xml:space="preserve">  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电子信箱：  电子信箱：</w:t>
      </w:r>
      <w:r>
        <w:rPr>
          <w:rFonts w:hint="eastAsia" w:ascii="宋体" w:hAnsi="宋体" w:cs="宋体"/>
          <w:color w:val="auto"/>
          <w:szCs w:val="21"/>
          <w:highlight w:val="none"/>
          <w:u w:val="single"/>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pStyle w:val="3"/>
        <w:adjustRightInd w:val="0"/>
        <w:snapToGrid w:val="0"/>
        <w:spacing w:before="0" w:after="0" w:line="360" w:lineRule="auto"/>
        <w:jc w:val="center"/>
        <w:rPr>
          <w:rFonts w:ascii="宋体" w:hAnsi="宋体" w:eastAsia="宋体" w:cs="宋体"/>
          <w:snapToGrid w:val="0"/>
          <w:color w:val="auto"/>
          <w:sz w:val="21"/>
          <w:highlight w:val="none"/>
        </w:rPr>
      </w:pPr>
      <w:r>
        <w:rPr>
          <w:rFonts w:hint="eastAsia" w:ascii="宋体" w:hAnsi="宋体" w:eastAsia="宋体" w:cs="宋体"/>
          <w:color w:val="auto"/>
          <w:sz w:val="21"/>
          <w:szCs w:val="21"/>
          <w:highlight w:val="none"/>
        </w:rPr>
        <w:br w:type="page"/>
      </w:r>
      <w:bookmarkStart w:id="551" w:name="_Toc10461"/>
      <w:bookmarkStart w:id="552" w:name="_Toc528660456"/>
      <w:bookmarkStart w:id="553" w:name="_Toc351203494"/>
      <w:r>
        <w:rPr>
          <w:rFonts w:hint="eastAsia" w:ascii="宋体" w:hAnsi="宋体" w:eastAsia="宋体" w:cs="宋体"/>
          <w:snapToGrid w:val="0"/>
          <w:color w:val="auto"/>
          <w:sz w:val="21"/>
          <w:highlight w:val="none"/>
        </w:rPr>
        <w:t>第二部分  通用合同条款</w:t>
      </w:r>
      <w:bookmarkEnd w:id="551"/>
      <w:bookmarkEnd w:id="552"/>
      <w:bookmarkEnd w:id="553"/>
      <w:bookmarkStart w:id="554" w:name="_Toc337558727"/>
    </w:p>
    <w:p>
      <w:pPr>
        <w:pStyle w:val="5"/>
        <w:adjustRightInd w:val="0"/>
        <w:snapToGrid w:val="0"/>
        <w:spacing w:line="360" w:lineRule="auto"/>
        <w:jc w:val="both"/>
        <w:rPr>
          <w:rFonts w:ascii="宋体" w:hAnsi="宋体" w:cs="宋体"/>
          <w:color w:val="auto"/>
          <w:szCs w:val="21"/>
          <w:highlight w:val="none"/>
        </w:rPr>
      </w:pPr>
      <w:bookmarkStart w:id="555" w:name="_Toc351203495"/>
    </w:p>
    <w:p>
      <w:pPr>
        <w:pStyle w:val="5"/>
        <w:adjustRightInd w:val="0"/>
        <w:snapToGrid w:val="0"/>
        <w:spacing w:line="360" w:lineRule="auto"/>
        <w:jc w:val="both"/>
        <w:rPr>
          <w:rFonts w:ascii="宋体" w:hAnsi="宋体" w:cs="宋体"/>
          <w:b/>
          <w:color w:val="auto"/>
          <w:szCs w:val="21"/>
          <w:highlight w:val="none"/>
        </w:rPr>
      </w:pPr>
      <w:r>
        <w:rPr>
          <w:rFonts w:hint="eastAsia" w:ascii="宋体" w:hAnsi="宋体" w:cs="宋体"/>
          <w:b/>
          <w:color w:val="auto"/>
          <w:szCs w:val="21"/>
          <w:highlight w:val="none"/>
        </w:rPr>
        <w:t>按《建设工程施工合同（示范文本）》（GF-2017-0201）通用合同条款执行。</w:t>
      </w:r>
    </w:p>
    <w:bookmarkEnd w:id="554"/>
    <w:bookmarkEnd w:id="555"/>
    <w:p>
      <w:pPr>
        <w:widowControl/>
        <w:adjustRightInd w:val="0"/>
        <w:snapToGrid w:val="0"/>
        <w:spacing w:line="360" w:lineRule="auto"/>
        <w:jc w:val="left"/>
        <w:rPr>
          <w:rFonts w:ascii="宋体" w:hAnsi="宋体" w:cs="宋体"/>
          <w:color w:val="auto"/>
          <w:szCs w:val="21"/>
          <w:highlight w:val="none"/>
        </w:rPr>
      </w:pPr>
      <w:bookmarkStart w:id="556" w:name="_Toc351203632"/>
      <w:r>
        <w:rPr>
          <w:rFonts w:hint="eastAsia" w:ascii="宋体" w:hAnsi="宋体" w:cs="宋体"/>
          <w:color w:val="auto"/>
          <w:szCs w:val="21"/>
          <w:highlight w:val="none"/>
        </w:rPr>
        <w:br w:type="page"/>
      </w:r>
    </w:p>
    <w:p>
      <w:pPr>
        <w:pStyle w:val="3"/>
        <w:snapToGrid w:val="0"/>
        <w:spacing w:before="0" w:line="400" w:lineRule="exact"/>
        <w:jc w:val="center"/>
        <w:rPr>
          <w:rFonts w:ascii="宋体" w:hAnsi="宋体" w:cs="宋体"/>
          <w:color w:val="auto"/>
          <w:sz w:val="21"/>
          <w:szCs w:val="21"/>
          <w:highlight w:val="none"/>
        </w:rPr>
      </w:pPr>
      <w:bookmarkStart w:id="557" w:name="_Toc11550"/>
      <w:r>
        <w:rPr>
          <w:rFonts w:hint="eastAsia" w:ascii="宋体" w:hAnsi="宋体" w:cs="宋体"/>
          <w:color w:val="auto"/>
          <w:sz w:val="21"/>
          <w:szCs w:val="21"/>
          <w:highlight w:val="none"/>
        </w:rPr>
        <w:t>第三部分 专用合同条款</w:t>
      </w:r>
      <w:bookmarkEnd w:id="556"/>
      <w:bookmarkEnd w:id="557"/>
    </w:p>
    <w:p>
      <w:pPr>
        <w:pStyle w:val="4"/>
        <w:spacing w:before="0" w:line="400" w:lineRule="exact"/>
        <w:ind w:firstLine="422"/>
        <w:rPr>
          <w:rFonts w:ascii="宋体" w:hAnsi="宋体" w:cs="宋体"/>
          <w:color w:val="auto"/>
          <w:sz w:val="21"/>
          <w:szCs w:val="21"/>
          <w:highlight w:val="none"/>
        </w:rPr>
      </w:pPr>
      <w:bookmarkStart w:id="558" w:name="_Toc299705197"/>
      <w:bookmarkStart w:id="559" w:name="_Toc436898883"/>
      <w:bookmarkStart w:id="560" w:name="_Toc26653"/>
      <w:bookmarkStart w:id="561" w:name="_Toc280258510"/>
      <w:bookmarkStart w:id="562" w:name="_Toc338361059"/>
      <w:bookmarkStart w:id="563" w:name="_Toc234293034"/>
      <w:bookmarkStart w:id="564" w:name="_Toc280257103"/>
      <w:bookmarkStart w:id="565" w:name="_Toc227036643"/>
      <w:r>
        <w:rPr>
          <w:rFonts w:hint="eastAsia" w:ascii="宋体" w:hAnsi="宋体" w:cs="宋体"/>
          <w:color w:val="auto"/>
          <w:sz w:val="21"/>
          <w:szCs w:val="21"/>
          <w:highlight w:val="none"/>
        </w:rPr>
        <w:t>1. 一般约定</w:t>
      </w:r>
      <w:bookmarkEnd w:id="558"/>
      <w:bookmarkEnd w:id="559"/>
      <w:bookmarkEnd w:id="560"/>
      <w:bookmarkEnd w:id="561"/>
      <w:bookmarkEnd w:id="562"/>
      <w:bookmarkEnd w:id="563"/>
      <w:bookmarkEnd w:id="564"/>
    </w:p>
    <w:p>
      <w:pPr>
        <w:spacing w:line="400" w:lineRule="exact"/>
        <w:ind w:firstLine="422"/>
        <w:rPr>
          <w:rFonts w:ascii="宋体" w:hAnsi="宋体" w:cs="宋体"/>
          <w:b/>
          <w:color w:val="auto"/>
          <w:highlight w:val="none"/>
        </w:rPr>
      </w:pPr>
      <w:bookmarkStart w:id="566" w:name="_Toc234293035"/>
      <w:bookmarkStart w:id="567" w:name="_Toc390350174"/>
      <w:bookmarkStart w:id="568" w:name="_Toc280257104"/>
      <w:bookmarkStart w:id="569" w:name="_Toc280258511"/>
      <w:bookmarkStart w:id="570" w:name="_Toc299705198"/>
      <w:bookmarkStart w:id="571" w:name="_Toc338361060"/>
      <w:bookmarkStart w:id="572" w:name="_Toc436898884"/>
      <w:r>
        <w:rPr>
          <w:rFonts w:hint="eastAsia" w:ascii="宋体" w:hAnsi="宋体" w:cs="宋体"/>
          <w:b/>
          <w:color w:val="auto"/>
          <w:highlight w:val="none"/>
        </w:rPr>
        <w:t>1.1  词语定义</w:t>
      </w:r>
      <w:bookmarkEnd w:id="566"/>
      <w:bookmarkEnd w:id="567"/>
      <w:bookmarkEnd w:id="568"/>
      <w:bookmarkEnd w:id="569"/>
      <w:bookmarkEnd w:id="570"/>
      <w:bookmarkEnd w:id="571"/>
      <w:bookmarkEnd w:id="572"/>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1.1.2  合同当事人和人员</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1.1.2.2  发包人：</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1.1.2.3  承包人：</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1.1.2.7  发包方技术负责人：</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1.1.2.8  发包方现场代表：</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1.1.3  工程和设备</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1.1.3.2  永久工程：</w:t>
      </w:r>
      <w:r>
        <w:rPr>
          <w:rFonts w:hint="eastAsia" w:ascii="宋体" w:hAnsi="宋体" w:cs="宋体"/>
          <w:color w:val="auto"/>
          <w:szCs w:val="21"/>
          <w:highlight w:val="none"/>
          <w:u w:val="single"/>
        </w:rPr>
        <w:t>按施工图</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1.1.3.3  临时工程：</w:t>
      </w:r>
      <w:r>
        <w:rPr>
          <w:rFonts w:hint="eastAsia" w:ascii="宋体" w:hAnsi="宋体" w:cs="宋体"/>
          <w:color w:val="auto"/>
          <w:szCs w:val="21"/>
          <w:highlight w:val="none"/>
          <w:u w:val="single"/>
        </w:rPr>
        <w:t>按施工图</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1.1.3.4  单位工程：</w:t>
      </w:r>
      <w:r>
        <w:rPr>
          <w:rFonts w:hint="eastAsia" w:ascii="宋体" w:hAnsi="宋体" w:cs="宋体"/>
          <w:color w:val="auto"/>
          <w:szCs w:val="21"/>
          <w:highlight w:val="none"/>
          <w:u w:val="single"/>
        </w:rPr>
        <w:t>按施工图</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1.1.3.11  临时占地：</w:t>
      </w:r>
      <w:r>
        <w:rPr>
          <w:rFonts w:hint="eastAsia" w:ascii="宋体" w:hAnsi="宋体" w:cs="宋体"/>
          <w:color w:val="auto"/>
          <w:szCs w:val="21"/>
          <w:highlight w:val="none"/>
          <w:u w:val="single"/>
        </w:rPr>
        <w:t>由承包人根据现场实际情况决定，费用由承包人承担</w:t>
      </w:r>
      <w:r>
        <w:rPr>
          <w:rFonts w:hint="eastAsia" w:ascii="宋体" w:hAnsi="宋体" w:cs="宋体"/>
          <w:color w:val="auto"/>
          <w:szCs w:val="21"/>
          <w:highlight w:val="none"/>
        </w:rPr>
        <w:t>。</w:t>
      </w:r>
    </w:p>
    <w:bookmarkEnd w:id="565"/>
    <w:p>
      <w:pPr>
        <w:spacing w:line="400" w:lineRule="exact"/>
        <w:ind w:firstLine="422"/>
        <w:rPr>
          <w:rFonts w:ascii="宋体" w:hAnsi="宋体" w:cs="宋体"/>
          <w:bCs/>
          <w:color w:val="auto"/>
          <w:szCs w:val="21"/>
          <w:highlight w:val="none"/>
        </w:rPr>
      </w:pPr>
      <w:bookmarkStart w:id="573" w:name="_Toc280257105"/>
      <w:bookmarkStart w:id="574" w:name="_Toc234293036"/>
      <w:bookmarkStart w:id="575" w:name="_Toc280258512"/>
      <w:bookmarkStart w:id="576" w:name="_Toc436898885"/>
      <w:bookmarkStart w:id="577" w:name="_Toc338361061"/>
      <w:bookmarkStart w:id="578" w:name="_Toc390350175"/>
      <w:bookmarkStart w:id="579" w:name="_Toc299705199"/>
      <w:r>
        <w:rPr>
          <w:rFonts w:hint="eastAsia" w:ascii="宋体" w:hAnsi="宋体" w:cs="宋体"/>
          <w:b/>
          <w:color w:val="auto"/>
          <w:highlight w:val="none"/>
        </w:rPr>
        <w:t>1.4  合同文件的优先顺序</w:t>
      </w:r>
      <w:bookmarkEnd w:id="573"/>
      <w:bookmarkEnd w:id="574"/>
      <w:bookmarkEnd w:id="575"/>
      <w:bookmarkEnd w:id="576"/>
      <w:bookmarkEnd w:id="577"/>
      <w:bookmarkEnd w:id="578"/>
      <w:bookmarkEnd w:id="579"/>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合同文件组成及解释顺序：</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1、本合同协议书及补充协议</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2、中标通知书　　</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3、招标文件、投标文件及其附件</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4、本合同专用条款</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5、本合同通用条款　　</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6、标准、规范及有关技术文件　　</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7、图纸　　</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8、工程量清单</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9、工程报价单或预算书</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双方有关工程的洽商、变更等书面协议或文件视为本合同的组成部分。</w:t>
      </w:r>
    </w:p>
    <w:p>
      <w:pPr>
        <w:spacing w:line="400" w:lineRule="exact"/>
        <w:ind w:firstLine="422"/>
        <w:rPr>
          <w:rFonts w:ascii="宋体" w:hAnsi="宋体" w:cs="宋体"/>
          <w:b/>
          <w:color w:val="auto"/>
          <w:highlight w:val="none"/>
        </w:rPr>
      </w:pPr>
      <w:bookmarkStart w:id="580" w:name="_Toc299705200"/>
      <w:bookmarkStart w:id="581" w:name="_Toc280258513"/>
      <w:bookmarkStart w:id="582" w:name="_Toc436898886"/>
      <w:bookmarkStart w:id="583" w:name="_Toc390350176"/>
      <w:bookmarkStart w:id="584" w:name="_Toc280257106"/>
      <w:bookmarkStart w:id="585" w:name="_Toc338361062"/>
      <w:r>
        <w:rPr>
          <w:rFonts w:hint="eastAsia" w:ascii="宋体" w:hAnsi="宋体" w:cs="宋体"/>
          <w:b/>
          <w:color w:val="auto"/>
          <w:highlight w:val="none"/>
        </w:rPr>
        <w:t>1.5  合同生效的条件</w:t>
      </w:r>
      <w:bookmarkEnd w:id="580"/>
      <w:bookmarkEnd w:id="581"/>
      <w:bookmarkEnd w:id="582"/>
      <w:bookmarkEnd w:id="583"/>
      <w:bookmarkEnd w:id="584"/>
      <w:bookmarkEnd w:id="585"/>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合同生效的条件：</w:t>
      </w:r>
      <w:r>
        <w:rPr>
          <w:rFonts w:hint="eastAsia" w:ascii="宋体" w:hAnsi="宋体" w:cs="宋体"/>
          <w:color w:val="auto"/>
          <w:szCs w:val="21"/>
          <w:highlight w:val="none"/>
          <w:u w:val="single"/>
        </w:rPr>
        <w:t>双方签字盖章并在承包人提交履约保证金后生效</w:t>
      </w:r>
      <w:r>
        <w:rPr>
          <w:rFonts w:hint="eastAsia" w:ascii="宋体" w:hAnsi="宋体" w:cs="宋体"/>
          <w:color w:val="auto"/>
          <w:szCs w:val="21"/>
          <w:highlight w:val="none"/>
        </w:rPr>
        <w:t>。</w:t>
      </w:r>
    </w:p>
    <w:p>
      <w:pPr>
        <w:spacing w:line="400" w:lineRule="exact"/>
        <w:ind w:firstLine="422"/>
        <w:rPr>
          <w:rFonts w:ascii="宋体" w:hAnsi="宋体" w:cs="宋体"/>
          <w:b/>
          <w:color w:val="auto"/>
          <w:highlight w:val="none"/>
        </w:rPr>
      </w:pPr>
      <w:bookmarkStart w:id="586" w:name="_Toc280257107"/>
      <w:bookmarkStart w:id="587" w:name="_Toc280258514"/>
      <w:bookmarkStart w:id="588" w:name="_Toc436898887"/>
      <w:bookmarkStart w:id="589" w:name="_Toc299705201"/>
      <w:bookmarkStart w:id="590" w:name="_Toc338361063"/>
      <w:bookmarkStart w:id="591" w:name="_Toc390350177"/>
      <w:bookmarkStart w:id="592" w:name="_Toc234293037"/>
      <w:r>
        <w:rPr>
          <w:rFonts w:hint="eastAsia" w:ascii="宋体" w:hAnsi="宋体" w:cs="宋体"/>
          <w:b/>
          <w:color w:val="auto"/>
          <w:highlight w:val="none"/>
        </w:rPr>
        <w:t>1.6  图纸和承包人文件</w:t>
      </w:r>
      <w:bookmarkEnd w:id="586"/>
      <w:bookmarkEnd w:id="587"/>
      <w:bookmarkEnd w:id="588"/>
      <w:bookmarkEnd w:id="589"/>
      <w:bookmarkEnd w:id="590"/>
      <w:bookmarkEnd w:id="591"/>
      <w:bookmarkEnd w:id="592"/>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1.6.1  发包人提供图纸的期限、数量：</w:t>
      </w:r>
      <w:r>
        <w:rPr>
          <w:rFonts w:hint="eastAsia" w:ascii="宋体" w:hAnsi="宋体" w:cs="宋体"/>
          <w:color w:val="auto"/>
          <w:szCs w:val="21"/>
          <w:highlight w:val="none"/>
          <w:u w:val="single"/>
        </w:rPr>
        <w:t>开工前五日由监理人向承包人提供图纸叁套</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1.6.2  承包人提供的文件范围：</w:t>
      </w:r>
      <w:r>
        <w:rPr>
          <w:rFonts w:hint="eastAsia" w:ascii="宋体" w:hAnsi="宋体" w:cs="宋体"/>
          <w:color w:val="auto"/>
          <w:szCs w:val="21"/>
          <w:highlight w:val="none"/>
          <w:u w:val="single"/>
        </w:rPr>
        <w:t>按通用条款执行</w:t>
      </w:r>
      <w:r>
        <w:rPr>
          <w:rFonts w:hint="eastAsia" w:ascii="宋体" w:hAnsi="宋体" w:cs="宋体"/>
          <w:color w:val="auto"/>
          <w:szCs w:val="21"/>
          <w:highlight w:val="none"/>
        </w:rPr>
        <w:t>。</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承包人提供文件的期限、数量：</w:t>
      </w:r>
      <w:r>
        <w:rPr>
          <w:rFonts w:hint="eastAsia" w:ascii="宋体" w:hAnsi="宋体" w:cs="宋体"/>
          <w:color w:val="auto"/>
          <w:szCs w:val="21"/>
          <w:highlight w:val="none"/>
          <w:u w:val="single"/>
        </w:rPr>
        <w:t>1.承包人收到施工图，技术交底后一周内提供优化后的施工组织设计和进度计划，月进度计划在25日前完成并由发包人现场代表，送交工程进度报表一式五份。2.工程竣工验收合格后10日内提供竣工图、隐蔽工程影像资料及竣工资料各肆份（其中原件一份）。</w:t>
      </w:r>
    </w:p>
    <w:p>
      <w:pPr>
        <w:spacing w:line="400" w:lineRule="exact"/>
        <w:ind w:firstLine="525" w:firstLineChars="250"/>
        <w:rPr>
          <w:rFonts w:ascii="宋体" w:hAnsi="宋体" w:cs="宋体"/>
          <w:color w:val="auto"/>
          <w:szCs w:val="21"/>
          <w:highlight w:val="none"/>
          <w:u w:val="single"/>
        </w:rPr>
      </w:pPr>
      <w:r>
        <w:rPr>
          <w:rFonts w:hint="eastAsia" w:ascii="宋体" w:hAnsi="宋体" w:cs="宋体"/>
          <w:color w:val="auto"/>
          <w:szCs w:val="21"/>
          <w:highlight w:val="none"/>
        </w:rPr>
        <w:t>1.6.3  监理人签发图纸修改的期限：</w:t>
      </w:r>
      <w:r>
        <w:rPr>
          <w:rFonts w:hint="eastAsia" w:ascii="宋体" w:hAnsi="宋体" w:cs="宋体"/>
          <w:color w:val="auto"/>
          <w:szCs w:val="21"/>
          <w:highlight w:val="none"/>
          <w:u w:val="single"/>
        </w:rPr>
        <w:t>不少于该项工作施工前14日。</w:t>
      </w:r>
    </w:p>
    <w:p>
      <w:pPr>
        <w:spacing w:line="400" w:lineRule="exact"/>
        <w:ind w:firstLine="422"/>
        <w:rPr>
          <w:rFonts w:ascii="宋体" w:hAnsi="宋体" w:cs="宋体"/>
          <w:b/>
          <w:color w:val="auto"/>
          <w:highlight w:val="none"/>
        </w:rPr>
      </w:pPr>
      <w:bookmarkStart w:id="593" w:name="_Toc390350178"/>
      <w:bookmarkStart w:id="594" w:name="_Toc280257108"/>
      <w:bookmarkStart w:id="595" w:name="_Toc436898888"/>
      <w:bookmarkStart w:id="596" w:name="_Toc280258515"/>
      <w:bookmarkStart w:id="597" w:name="_Toc338361064"/>
      <w:bookmarkStart w:id="598" w:name="_Toc299705202"/>
      <w:r>
        <w:rPr>
          <w:rFonts w:hint="eastAsia" w:ascii="宋体" w:hAnsi="宋体" w:cs="宋体"/>
          <w:b/>
          <w:color w:val="auto"/>
          <w:highlight w:val="none"/>
        </w:rPr>
        <w:t>1.7 联络</w:t>
      </w:r>
      <w:bookmarkEnd w:id="593"/>
      <w:bookmarkEnd w:id="594"/>
      <w:bookmarkEnd w:id="595"/>
      <w:bookmarkEnd w:id="596"/>
      <w:bookmarkEnd w:id="597"/>
      <w:bookmarkEnd w:id="598"/>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1.7.2 联络送达的期限：</w:t>
      </w:r>
      <w:r>
        <w:rPr>
          <w:rFonts w:hint="eastAsia" w:ascii="宋体" w:hAnsi="宋体" w:cs="宋体"/>
          <w:color w:val="auto"/>
          <w:szCs w:val="21"/>
          <w:highlight w:val="none"/>
          <w:u w:val="single"/>
        </w:rPr>
        <w:t>与合同有关的相关文件，均应在七天内送达指定地点和接收人，并办理签收手续</w:t>
      </w:r>
      <w:r>
        <w:rPr>
          <w:rFonts w:hint="eastAsia" w:ascii="宋体" w:hAnsi="宋体" w:cs="宋体"/>
          <w:color w:val="auto"/>
          <w:szCs w:val="21"/>
          <w:highlight w:val="none"/>
        </w:rPr>
        <w:t>。</w:t>
      </w:r>
    </w:p>
    <w:p>
      <w:pPr>
        <w:pStyle w:val="4"/>
        <w:spacing w:before="0" w:line="400" w:lineRule="exact"/>
        <w:ind w:firstLine="422"/>
        <w:rPr>
          <w:rFonts w:ascii="宋体" w:hAnsi="宋体" w:cs="宋体"/>
          <w:color w:val="auto"/>
          <w:sz w:val="21"/>
          <w:szCs w:val="21"/>
          <w:highlight w:val="none"/>
        </w:rPr>
      </w:pPr>
      <w:bookmarkStart w:id="599" w:name="_Toc436898889"/>
      <w:bookmarkStart w:id="600" w:name="_Toc280257109"/>
      <w:bookmarkStart w:id="601" w:name="_Toc338361065"/>
      <w:bookmarkStart w:id="602" w:name="_Toc234293038"/>
      <w:bookmarkStart w:id="603" w:name="_Toc299705203"/>
      <w:bookmarkStart w:id="604" w:name="_Toc280258516"/>
      <w:bookmarkStart w:id="605" w:name="_Toc20512"/>
      <w:r>
        <w:rPr>
          <w:rFonts w:hint="eastAsia" w:ascii="宋体" w:hAnsi="宋体" w:cs="宋体"/>
          <w:color w:val="auto"/>
          <w:sz w:val="21"/>
          <w:szCs w:val="21"/>
          <w:highlight w:val="none"/>
        </w:rPr>
        <w:t>2.  发包人义务</w:t>
      </w:r>
      <w:bookmarkEnd w:id="599"/>
      <w:bookmarkEnd w:id="600"/>
      <w:bookmarkEnd w:id="601"/>
      <w:bookmarkEnd w:id="602"/>
      <w:bookmarkEnd w:id="603"/>
      <w:bookmarkEnd w:id="604"/>
      <w:bookmarkEnd w:id="605"/>
    </w:p>
    <w:p>
      <w:pPr>
        <w:spacing w:line="400" w:lineRule="exact"/>
        <w:ind w:firstLine="422"/>
        <w:rPr>
          <w:rFonts w:ascii="宋体" w:hAnsi="宋体" w:cs="宋体"/>
          <w:b/>
          <w:color w:val="auto"/>
          <w:highlight w:val="none"/>
        </w:rPr>
      </w:pPr>
      <w:bookmarkStart w:id="606" w:name="_Toc299705204"/>
      <w:bookmarkStart w:id="607" w:name="_Toc436898890"/>
      <w:bookmarkStart w:id="608" w:name="_Toc390350180"/>
      <w:bookmarkStart w:id="609" w:name="_Toc338361066"/>
      <w:r>
        <w:rPr>
          <w:rFonts w:hint="eastAsia" w:ascii="宋体" w:hAnsi="宋体" w:cs="宋体"/>
          <w:b/>
          <w:color w:val="auto"/>
          <w:highlight w:val="none"/>
        </w:rPr>
        <w:t>2.1  按通用条款执行</w:t>
      </w:r>
      <w:bookmarkEnd w:id="606"/>
      <w:bookmarkEnd w:id="607"/>
      <w:bookmarkEnd w:id="608"/>
      <w:bookmarkEnd w:id="609"/>
    </w:p>
    <w:p>
      <w:pPr>
        <w:spacing w:line="400" w:lineRule="exact"/>
        <w:ind w:firstLine="422"/>
        <w:rPr>
          <w:rFonts w:ascii="宋体" w:hAnsi="宋体" w:cs="宋体"/>
          <w:b/>
          <w:color w:val="auto"/>
          <w:highlight w:val="none"/>
        </w:rPr>
      </w:pPr>
      <w:bookmarkStart w:id="610" w:name="_Toc280257110"/>
      <w:bookmarkStart w:id="611" w:name="_Toc299705205"/>
      <w:bookmarkStart w:id="612" w:name="_Toc234293039"/>
      <w:bookmarkStart w:id="613" w:name="_Toc280258517"/>
      <w:bookmarkStart w:id="614" w:name="_Toc390350181"/>
      <w:bookmarkStart w:id="615" w:name="_Toc436898891"/>
      <w:bookmarkStart w:id="616" w:name="_Toc338361067"/>
      <w:r>
        <w:rPr>
          <w:rFonts w:hint="eastAsia" w:ascii="宋体" w:hAnsi="宋体" w:cs="宋体"/>
          <w:b/>
          <w:color w:val="auto"/>
          <w:highlight w:val="none"/>
        </w:rPr>
        <w:t>2.3  提供施工场地</w:t>
      </w:r>
      <w:bookmarkEnd w:id="610"/>
      <w:bookmarkEnd w:id="611"/>
      <w:bookmarkEnd w:id="612"/>
      <w:bookmarkEnd w:id="613"/>
      <w:bookmarkEnd w:id="614"/>
      <w:bookmarkEnd w:id="615"/>
      <w:bookmarkEnd w:id="616"/>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发包人提供施工场地和有关资料的时间：</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（1）施工场地具备施工条件的要求及完成的时间：</w:t>
      </w:r>
      <w:r>
        <w:rPr>
          <w:rFonts w:hint="eastAsia" w:ascii="宋体" w:hAnsi="宋体" w:cs="宋体"/>
          <w:color w:val="auto"/>
          <w:szCs w:val="21"/>
          <w:highlight w:val="none"/>
          <w:u w:val="single"/>
        </w:rPr>
        <w:t>工程开工前完成，满足施工要求。</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（2）将施工所需的水、电的相关费用已包含在合同价中；</w:t>
      </w:r>
      <w:r>
        <w:rPr>
          <w:rFonts w:hint="eastAsia" w:ascii="宋体" w:hAnsi="宋体" w:cs="宋体"/>
          <w:color w:val="auto"/>
          <w:szCs w:val="21"/>
          <w:highlight w:val="none"/>
          <w:u w:val="single"/>
        </w:rPr>
        <w:t>施工用水、用电由承包人负责接入发包人指定位置，相关费用由承包人承担。</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（3）施工场地与公共道路的通道开通时间和要求：</w:t>
      </w:r>
      <w:r>
        <w:rPr>
          <w:rFonts w:hint="eastAsia" w:ascii="宋体" w:hAnsi="宋体" w:cs="宋体"/>
          <w:color w:val="auto"/>
          <w:szCs w:val="21"/>
          <w:highlight w:val="none"/>
          <w:u w:val="single"/>
        </w:rPr>
        <w:t>竞标人充分了解本工程范围并结合总体平面布置，自行考虑了进场道路和施工便道布设方案。</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（5）由发包人办理的施工所需证件、批件的名称和完成时间：</w:t>
      </w:r>
      <w:r>
        <w:rPr>
          <w:rFonts w:hint="eastAsia" w:ascii="宋体" w:hAnsi="宋体" w:cs="宋体"/>
          <w:color w:val="auto"/>
          <w:szCs w:val="21"/>
          <w:highlight w:val="none"/>
          <w:u w:val="single"/>
        </w:rPr>
        <w:t>合同签订后，承发包人按规定及时向有关部门缴清各自应缴纳的费用，承包人配合发包人及时办理相关施工许可证手续。</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（6）水准点与座标控制点交验要求：</w:t>
      </w:r>
      <w:r>
        <w:rPr>
          <w:rFonts w:hint="eastAsia" w:ascii="宋体" w:hAnsi="宋体" w:cs="宋体"/>
          <w:color w:val="auto"/>
          <w:szCs w:val="21"/>
          <w:highlight w:val="none"/>
          <w:u w:val="single"/>
        </w:rPr>
        <w:t>放线办理、现场交验、书面交接。</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（7）图纸会审和设计交底时间：</w:t>
      </w:r>
      <w:r>
        <w:rPr>
          <w:rFonts w:hint="eastAsia" w:ascii="宋体" w:hAnsi="宋体" w:cs="宋体"/>
          <w:color w:val="auto"/>
          <w:szCs w:val="21"/>
          <w:highlight w:val="none"/>
          <w:u w:val="single"/>
        </w:rPr>
        <w:t>施工图提交后5日内。</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（8）协调处理施工场地周围地下管线和邻近建筑物、构筑物（含文物保护建筑）、古树名木的保护工作：</w:t>
      </w:r>
      <w:r>
        <w:rPr>
          <w:rFonts w:hint="eastAsia" w:ascii="宋体" w:hAnsi="宋体" w:cs="宋体"/>
          <w:color w:val="auto"/>
          <w:szCs w:val="21"/>
          <w:highlight w:val="none"/>
          <w:u w:val="single"/>
        </w:rPr>
        <w:t>由承包人负责，费用已包含在合同价中。</w:t>
      </w:r>
    </w:p>
    <w:p>
      <w:pPr>
        <w:spacing w:line="400" w:lineRule="exact"/>
        <w:ind w:firstLine="422"/>
        <w:rPr>
          <w:rFonts w:ascii="宋体" w:hAnsi="宋体" w:cs="宋体"/>
          <w:b/>
          <w:color w:val="auto"/>
          <w:highlight w:val="none"/>
        </w:rPr>
      </w:pPr>
      <w:bookmarkStart w:id="617" w:name="_Toc436898892"/>
      <w:bookmarkStart w:id="618" w:name="_Toc390350182"/>
      <w:bookmarkStart w:id="619" w:name="_Toc338361068"/>
      <w:bookmarkStart w:id="620" w:name="_Toc299705206"/>
      <w:r>
        <w:rPr>
          <w:rFonts w:hint="eastAsia" w:ascii="宋体" w:hAnsi="宋体" w:cs="宋体"/>
          <w:b/>
          <w:color w:val="auto"/>
          <w:highlight w:val="none"/>
        </w:rPr>
        <w:t>2.4  其他按通用条款执行</w:t>
      </w:r>
      <w:bookmarkEnd w:id="617"/>
      <w:bookmarkEnd w:id="618"/>
      <w:bookmarkEnd w:id="619"/>
      <w:bookmarkEnd w:id="620"/>
    </w:p>
    <w:p>
      <w:pPr>
        <w:pStyle w:val="4"/>
        <w:spacing w:before="0" w:line="400" w:lineRule="exact"/>
        <w:ind w:firstLine="422"/>
        <w:rPr>
          <w:rFonts w:ascii="宋体" w:hAnsi="宋体" w:cs="宋体"/>
          <w:color w:val="auto"/>
          <w:sz w:val="21"/>
          <w:szCs w:val="21"/>
          <w:highlight w:val="none"/>
        </w:rPr>
      </w:pPr>
      <w:bookmarkStart w:id="621" w:name="_Toc299705209"/>
      <w:bookmarkStart w:id="622" w:name="_Toc338361071"/>
      <w:bookmarkStart w:id="623" w:name="_Toc17286"/>
      <w:bookmarkStart w:id="624" w:name="_Toc436898895"/>
      <w:r>
        <w:rPr>
          <w:rFonts w:hint="eastAsia" w:ascii="宋体" w:hAnsi="宋体" w:cs="宋体"/>
          <w:color w:val="auto"/>
          <w:sz w:val="21"/>
          <w:szCs w:val="21"/>
          <w:highlight w:val="none"/>
        </w:rPr>
        <w:t>4.  承包人</w:t>
      </w:r>
      <w:bookmarkEnd w:id="621"/>
      <w:bookmarkEnd w:id="622"/>
      <w:bookmarkEnd w:id="623"/>
      <w:bookmarkEnd w:id="624"/>
    </w:p>
    <w:p>
      <w:pPr>
        <w:spacing w:line="400" w:lineRule="exact"/>
        <w:ind w:firstLine="422"/>
        <w:rPr>
          <w:rFonts w:ascii="宋体" w:hAnsi="宋体" w:cs="宋体"/>
          <w:b/>
          <w:color w:val="auto"/>
          <w:highlight w:val="none"/>
        </w:rPr>
      </w:pPr>
      <w:bookmarkStart w:id="625" w:name="_Toc234293042"/>
      <w:bookmarkStart w:id="626" w:name="_Toc390350186"/>
      <w:bookmarkStart w:id="627" w:name="_Toc280258520"/>
      <w:bookmarkStart w:id="628" w:name="_Toc436898896"/>
      <w:bookmarkStart w:id="629" w:name="_Toc280257113"/>
      <w:bookmarkStart w:id="630" w:name="_Toc299705210"/>
      <w:bookmarkStart w:id="631" w:name="_Toc338361072"/>
      <w:r>
        <w:rPr>
          <w:rFonts w:hint="eastAsia" w:ascii="宋体" w:hAnsi="宋体" w:cs="宋体"/>
          <w:b/>
          <w:color w:val="auto"/>
          <w:highlight w:val="none"/>
        </w:rPr>
        <w:t>4.1  承包人的一般义务</w:t>
      </w:r>
      <w:bookmarkEnd w:id="625"/>
      <w:bookmarkEnd w:id="626"/>
      <w:bookmarkEnd w:id="627"/>
      <w:bookmarkEnd w:id="628"/>
      <w:bookmarkEnd w:id="629"/>
      <w:bookmarkEnd w:id="630"/>
      <w:bookmarkEnd w:id="631"/>
    </w:p>
    <w:p>
      <w:pPr>
        <w:spacing w:line="400" w:lineRule="exact"/>
        <w:ind w:firstLine="420"/>
        <w:rPr>
          <w:rFonts w:ascii="宋体" w:hAnsi="宋体" w:cs="宋体"/>
          <w:color w:val="auto"/>
          <w:szCs w:val="21"/>
          <w:highlight w:val="none"/>
        </w:rPr>
      </w:pPr>
      <w:bookmarkStart w:id="632" w:name="_Toc234293044"/>
      <w:bookmarkStart w:id="633" w:name="_Toc390350187"/>
      <w:bookmarkStart w:id="634" w:name="_Toc338361073"/>
      <w:bookmarkStart w:id="635" w:name="_Toc299705211"/>
      <w:bookmarkStart w:id="636" w:name="_Toc436898897"/>
      <w:r>
        <w:rPr>
          <w:rFonts w:hint="eastAsia" w:ascii="宋体" w:hAnsi="宋体" w:cs="宋体"/>
          <w:color w:val="auto"/>
          <w:szCs w:val="21"/>
          <w:highlight w:val="none"/>
        </w:rPr>
        <w:t>①承担施工安全保卫工作及夜间施工场地安全警示和照明的责任；</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②承包人办理的有关施工场地交通、环卫和施工噪音管理等手续：根据现场具体情况及时办理；</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③工程成品保护的特殊要求及费用承担：已竣工工程未交付发包人之前，承包人需确认</w:t>
      </w:r>
      <w:r>
        <w:rPr>
          <w:rFonts w:hint="eastAsia" w:ascii="宋体" w:hAnsi="宋体" w:cs="宋体"/>
          <w:color w:val="auto"/>
          <w:szCs w:val="21"/>
          <w:highlight w:val="none"/>
          <w:lang w:eastAsia="zh-CN"/>
        </w:rPr>
        <w:t>并</w:t>
      </w:r>
      <w:r>
        <w:rPr>
          <w:rFonts w:hint="eastAsia" w:ascii="宋体" w:hAnsi="宋体" w:cs="宋体"/>
          <w:color w:val="auto"/>
          <w:szCs w:val="21"/>
          <w:highlight w:val="none"/>
        </w:rPr>
        <w:t>负责已完工程的保护工作，保护期间发生损坏，承包人予以自费维修，发包人要求承包人采取特殊措施保护的工程，双方另行补充合同条款，相应追加合同价款；</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④施工场地清洁卫生要求：保证施工场地清洁卫生符合安全文明施工要求，交工前清理现场，承担因自身违反有关规定造成的所有损失；</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⑤按发包人要求的时间向发包人委托的监理单位申报施工组织设计、施工方案、施工技术措施、施工进度计划和施工完成工作量报表等资料；</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⑥工程承包商应服从发包人、依据规程、规范制订的各项工程现场管理制度和措施；</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⑦承包人在工程开工前，必须编制安全技术措施经发包人审批，且在开工之前必须与发包人的安全部门签订安全协议；</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⑧为他人提供方便</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承包人为他人提供条件的内容：按发包人书面通知执行，包括但不限于以下内容。</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便道的修建或保护、交通标志标牌和信号设备的完善、弃渣地等均由承包人负责，并向在该项目施工的其他单位免费提供。并有义务积极配合和协调本项目其他工程的其他承包人及供货商工作，如提供施工场地、临时设施场地、水电接口、施工道路、控制点和标高，并进行现场协调管理等。如果承包人不积极配合和协调其他承包人及供货商的工作而造成工期延误或给发包人造成的一切损失均由承包人负责承担。</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费用的处理方法：已包含在投标报价中其他项目清单计价表中总承包服务费内，由承包人包干使用，在结算时不再进行调整。承包人不得以未计取或者计取不够要求发包人或其他承包人支付额外配合管理费用。由于承包人配合和协调其他承包人和供货商的工作可能降低其工效引起的费用增加已包含在总承包服务费内，降低工效所引起的工期延误由承包人自行负责。</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⑨工程的维护和照管</w:t>
      </w:r>
    </w:p>
    <w:p>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工程的维护和照管费用由承包人承担，已包含在投标报价中措施项目清单计价表内。</w:t>
      </w:r>
    </w:p>
    <w:p>
      <w:pPr>
        <w:spacing w:line="400" w:lineRule="exact"/>
        <w:ind w:firstLine="42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⑩</w:t>
      </w:r>
      <w:r>
        <w:rPr>
          <w:rFonts w:hint="eastAsia" w:ascii="宋体" w:hAnsi="宋体" w:cs="宋体"/>
          <w:color w:val="auto"/>
          <w:szCs w:val="21"/>
          <w:highlight w:val="none"/>
          <w:lang w:eastAsia="zh-CN"/>
        </w:rPr>
        <w:t>上一道工序完工后，承包人需确认完工质量和数量，同时需确认不影响下一道工序的开展和工程质量；</w:t>
      </w:r>
    </w:p>
    <w:p>
      <w:pPr>
        <w:spacing w:line="400" w:lineRule="exact"/>
        <w:ind w:firstLine="422"/>
        <w:rPr>
          <w:rFonts w:ascii="宋体" w:hAnsi="宋体" w:cs="宋体"/>
          <w:b/>
          <w:color w:val="auto"/>
          <w:highlight w:val="none"/>
        </w:rPr>
      </w:pPr>
      <w:r>
        <w:rPr>
          <w:rFonts w:hint="eastAsia" w:ascii="宋体" w:hAnsi="宋体" w:cs="宋体"/>
          <w:b/>
          <w:color w:val="auto"/>
          <w:highlight w:val="none"/>
        </w:rPr>
        <w:t>4.2 履约担保</w:t>
      </w:r>
      <w:bookmarkEnd w:id="632"/>
      <w:bookmarkEnd w:id="633"/>
      <w:bookmarkEnd w:id="634"/>
      <w:bookmarkEnd w:id="635"/>
      <w:bookmarkEnd w:id="636"/>
      <w:bookmarkStart w:id="637" w:name="_Toc234293045"/>
    </w:p>
    <w:p>
      <w:pPr>
        <w:autoSpaceDE w:val="0"/>
        <w:autoSpaceDN w:val="0"/>
        <w:adjustRightInd w:val="0"/>
        <w:snapToGrid w:val="0"/>
        <w:spacing w:line="440" w:lineRule="exact"/>
        <w:ind w:firstLine="420" w:firstLineChars="200"/>
        <w:jc w:val="left"/>
        <w:rPr>
          <w:color w:val="auto"/>
          <w:highlight w:val="none"/>
        </w:rPr>
      </w:pPr>
      <w:bookmarkStart w:id="638" w:name="_Toc338361074"/>
      <w:bookmarkStart w:id="639" w:name="_Toc390350188"/>
      <w:bookmarkStart w:id="640" w:name="_Toc280257115"/>
      <w:bookmarkStart w:id="641" w:name="_Toc299705212"/>
      <w:bookmarkStart w:id="642" w:name="_Toc280258522"/>
      <w:bookmarkStart w:id="643" w:name="_Toc436898898"/>
      <w:r>
        <w:rPr>
          <w:rFonts w:hint="eastAsia"/>
          <w:color w:val="auto"/>
          <w:highlight w:val="none"/>
        </w:rPr>
        <w:t>履约担保形式：现金+银行保函，其中现金金额为中选合同金额的5%，其余5%为无条件银行保函或现金。</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履约担保金额：中选价的10%。</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提交时间:中选通知书发出后10个工作日内。</w:t>
      </w:r>
    </w:p>
    <w:p>
      <w:pPr>
        <w:autoSpaceDE w:val="0"/>
        <w:autoSpaceDN w:val="0"/>
        <w:adjustRightInd w:val="0"/>
        <w:snapToGrid w:val="0"/>
        <w:spacing w:line="440" w:lineRule="exact"/>
        <w:ind w:firstLine="420" w:firstLineChars="200"/>
        <w:jc w:val="left"/>
        <w:rPr>
          <w:color w:val="auto"/>
          <w:highlight w:val="none"/>
        </w:rPr>
      </w:pPr>
      <w:r>
        <w:rPr>
          <w:rFonts w:hint="eastAsia"/>
          <w:color w:val="auto"/>
          <w:highlight w:val="none"/>
        </w:rPr>
        <w:t>履约担保的退还：全部工程竣工预验收合格后三十个工作日内无息退还。</w:t>
      </w:r>
    </w:p>
    <w:p>
      <w:pPr>
        <w:autoSpaceDE w:val="0"/>
        <w:autoSpaceDN w:val="0"/>
        <w:adjustRightInd w:val="0"/>
        <w:snapToGrid w:val="0"/>
        <w:spacing w:line="440" w:lineRule="exact"/>
        <w:ind w:firstLine="422" w:firstLineChars="200"/>
        <w:jc w:val="left"/>
        <w:rPr>
          <w:b/>
          <w:bCs/>
          <w:color w:val="auto"/>
          <w:highlight w:val="none"/>
        </w:rPr>
      </w:pPr>
      <w:r>
        <w:rPr>
          <w:rFonts w:hint="eastAsia"/>
          <w:b/>
          <w:bCs/>
          <w:color w:val="auto"/>
          <w:highlight w:val="none"/>
        </w:rPr>
        <w:t>注：1、以现金形式提交的履约保证金，中标人应当从其基本账户转入招标人规定的招标人账户。</w:t>
      </w:r>
    </w:p>
    <w:p>
      <w:pPr>
        <w:numPr>
          <w:ilvl w:val="0"/>
          <w:numId w:val="4"/>
        </w:numPr>
        <w:autoSpaceDE w:val="0"/>
        <w:autoSpaceDN w:val="0"/>
        <w:adjustRightInd w:val="0"/>
        <w:snapToGrid w:val="0"/>
        <w:spacing w:line="440" w:lineRule="exact"/>
        <w:ind w:firstLine="422" w:firstLineChars="200"/>
        <w:jc w:val="left"/>
        <w:rPr>
          <w:b/>
          <w:bCs/>
          <w:color w:val="auto"/>
          <w:highlight w:val="none"/>
        </w:rPr>
      </w:pPr>
      <w:r>
        <w:rPr>
          <w:rFonts w:hint="eastAsia"/>
          <w:b/>
          <w:bCs/>
          <w:color w:val="auto"/>
          <w:highlight w:val="none"/>
        </w:rPr>
        <w:t>若不按时进行缴纳的，招标人有权取消中标人的中标资格，并没收其已缴纳的投标保证金。</w:t>
      </w:r>
    </w:p>
    <w:p>
      <w:pPr>
        <w:numPr>
          <w:ilvl w:val="0"/>
          <w:numId w:val="4"/>
        </w:numPr>
        <w:autoSpaceDE w:val="0"/>
        <w:autoSpaceDN w:val="0"/>
        <w:adjustRightInd w:val="0"/>
        <w:snapToGrid w:val="0"/>
        <w:spacing w:line="440" w:lineRule="exact"/>
        <w:ind w:firstLine="422" w:firstLineChars="200"/>
        <w:jc w:val="left"/>
        <w:rPr>
          <w:color w:val="auto"/>
          <w:highlight w:val="none"/>
        </w:rPr>
      </w:pPr>
      <w:r>
        <w:rPr>
          <w:rFonts w:hint="eastAsia"/>
          <w:b/>
          <w:bCs/>
          <w:color w:val="auto"/>
          <w:highlight w:val="none"/>
        </w:rPr>
        <w:t>中标人对银行保函的真实性和有效性负责，中标人应对查证工作提供方便,并向发包人出具保函开具银行查证的授权声明，若提供虚假银行保函，追究其相关责任并取消其中标资格或解除双方签订的合同，同时没收其投标保证金，构成犯罪的，依法移送司法机关。</w:t>
      </w:r>
    </w:p>
    <w:p>
      <w:pPr>
        <w:spacing w:line="400" w:lineRule="exact"/>
        <w:ind w:firstLine="420"/>
        <w:rPr>
          <w:rFonts w:ascii="宋体" w:hAnsi="宋体" w:cs="宋体"/>
          <w:color w:val="auto"/>
          <w:szCs w:val="21"/>
          <w:highlight w:val="none"/>
        </w:rPr>
      </w:pPr>
      <w:r>
        <w:rPr>
          <w:rFonts w:hint="eastAsia"/>
          <w:b/>
          <w:bCs/>
          <w:color w:val="auto"/>
          <w:highlight w:val="none"/>
        </w:rPr>
        <w:t>若因承包人违约，发包人有权从履约保证金中扣除相应违约金，在履约保证金扣除后，发包人有权要求承包人补足履约保证金，承包人应在发包人要求补足之日起5个工作日内补足。否则，发包人有权直接从应支付给承包人的工程款项中扣除工程款补足履约保证金。</w:t>
      </w:r>
    </w:p>
    <w:p>
      <w:pPr>
        <w:spacing w:line="400" w:lineRule="exact"/>
        <w:ind w:firstLine="422"/>
        <w:rPr>
          <w:rFonts w:ascii="宋体" w:hAnsi="宋体" w:cs="宋体"/>
          <w:b/>
          <w:color w:val="auto"/>
          <w:highlight w:val="none"/>
        </w:rPr>
      </w:pPr>
      <w:r>
        <w:rPr>
          <w:rFonts w:hint="eastAsia" w:ascii="宋体" w:hAnsi="宋体" w:cs="宋体"/>
          <w:b/>
          <w:color w:val="auto"/>
          <w:highlight w:val="none"/>
        </w:rPr>
        <w:t>4.3 分包</w:t>
      </w:r>
      <w:bookmarkEnd w:id="637"/>
      <w:bookmarkEnd w:id="638"/>
      <w:bookmarkEnd w:id="639"/>
      <w:bookmarkEnd w:id="640"/>
      <w:bookmarkEnd w:id="641"/>
      <w:bookmarkEnd w:id="642"/>
      <w:bookmarkEnd w:id="643"/>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4.3.2  分包的内容</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当事人约定某些非主体、非关键性工作分包给第三人:</w:t>
      </w:r>
      <w:r>
        <w:rPr>
          <w:rFonts w:hint="eastAsia" w:ascii="宋体" w:hAnsi="宋体" w:cs="宋体"/>
          <w:color w:val="auto"/>
          <w:szCs w:val="21"/>
          <w:highlight w:val="none"/>
          <w:u w:val="single"/>
        </w:rPr>
        <w:t>承包人工程不得转包，分包应按国家、重庆市有关规定执行，并报发包人审核确定。</w:t>
      </w:r>
    </w:p>
    <w:p>
      <w:pPr>
        <w:pStyle w:val="4"/>
        <w:spacing w:before="0" w:line="400" w:lineRule="exact"/>
        <w:ind w:firstLine="422"/>
        <w:rPr>
          <w:rFonts w:ascii="宋体" w:hAnsi="宋体" w:cs="宋体"/>
          <w:color w:val="auto"/>
          <w:sz w:val="21"/>
          <w:szCs w:val="21"/>
          <w:highlight w:val="none"/>
        </w:rPr>
      </w:pPr>
      <w:bookmarkStart w:id="644" w:name="_Toc13895"/>
      <w:bookmarkStart w:id="645" w:name="_Toc280258523"/>
      <w:bookmarkStart w:id="646" w:name="_Toc280257116"/>
      <w:bookmarkStart w:id="647" w:name="_Toc436898899"/>
      <w:bookmarkStart w:id="648" w:name="_Toc234293046"/>
      <w:bookmarkStart w:id="649" w:name="_Toc299705213"/>
      <w:bookmarkStart w:id="650" w:name="_Toc338361075"/>
      <w:r>
        <w:rPr>
          <w:rFonts w:hint="eastAsia" w:ascii="宋体" w:hAnsi="宋体" w:cs="宋体"/>
          <w:color w:val="auto"/>
          <w:sz w:val="21"/>
          <w:szCs w:val="21"/>
          <w:highlight w:val="none"/>
        </w:rPr>
        <w:t>5.  材料和工程设备</w:t>
      </w:r>
      <w:bookmarkEnd w:id="644"/>
      <w:bookmarkEnd w:id="645"/>
      <w:bookmarkEnd w:id="646"/>
      <w:bookmarkEnd w:id="647"/>
      <w:bookmarkEnd w:id="648"/>
      <w:bookmarkEnd w:id="649"/>
      <w:bookmarkEnd w:id="650"/>
    </w:p>
    <w:p>
      <w:pPr>
        <w:spacing w:line="400" w:lineRule="exact"/>
        <w:ind w:firstLine="422"/>
        <w:rPr>
          <w:rFonts w:ascii="宋体" w:hAnsi="宋体" w:cs="宋体"/>
          <w:b/>
          <w:color w:val="auto"/>
          <w:highlight w:val="none"/>
        </w:rPr>
      </w:pPr>
      <w:bookmarkStart w:id="651" w:name="_Toc280257117"/>
      <w:bookmarkStart w:id="652" w:name="_Toc234293047"/>
      <w:bookmarkStart w:id="653" w:name="_Toc280258524"/>
      <w:bookmarkStart w:id="654" w:name="_Toc299705214"/>
      <w:bookmarkStart w:id="655" w:name="_Toc390350190"/>
      <w:bookmarkStart w:id="656" w:name="_Toc338361076"/>
      <w:bookmarkStart w:id="657" w:name="_Toc436898900"/>
      <w:r>
        <w:rPr>
          <w:rFonts w:hint="eastAsia" w:ascii="宋体" w:hAnsi="宋体" w:cs="宋体"/>
          <w:b/>
          <w:color w:val="auto"/>
          <w:highlight w:val="none"/>
        </w:rPr>
        <w:t>5.1  承包人提供的材料和工程设备</w:t>
      </w:r>
      <w:bookmarkEnd w:id="651"/>
      <w:bookmarkEnd w:id="652"/>
      <w:bookmarkEnd w:id="653"/>
      <w:bookmarkEnd w:id="654"/>
      <w:bookmarkEnd w:id="655"/>
      <w:bookmarkEnd w:id="656"/>
      <w:bookmarkEnd w:id="657"/>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5.1.1  承包人负责采购、运输和保管的材料、工程设备：</w:t>
      </w:r>
      <w:r>
        <w:rPr>
          <w:rFonts w:hint="eastAsia" w:ascii="宋体" w:hAnsi="宋体" w:cs="宋体"/>
          <w:color w:val="auto"/>
          <w:kern w:val="0"/>
          <w:szCs w:val="21"/>
          <w:highlight w:val="none"/>
          <w:u w:val="single"/>
        </w:rPr>
        <w:t>本工程所需材料、设备由承包人采购，但所采购的材料必须符合国家规范标准及设计文件、竞争性比选文件要求，并提供相应合格证明资料、质保书，同时须报发包人批准同意后方可采购，并经发包人验收合格后方可进场使用。</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承包人报送审批的时间：施工实施前十四天。</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5.1.5材料运输距离由承包人根据自身情况及踏勘现场情况自行确定,中标后不调整。</w:t>
      </w:r>
    </w:p>
    <w:p>
      <w:pPr>
        <w:spacing w:line="400" w:lineRule="exact"/>
        <w:ind w:firstLine="422"/>
        <w:rPr>
          <w:rFonts w:ascii="宋体" w:hAnsi="宋体" w:cs="宋体"/>
          <w:b/>
          <w:color w:val="auto"/>
          <w:highlight w:val="none"/>
        </w:rPr>
      </w:pPr>
      <w:bookmarkStart w:id="658" w:name="_Toc338361077"/>
      <w:bookmarkStart w:id="659" w:name="_Toc299705215"/>
      <w:bookmarkStart w:id="660" w:name="_Toc390350191"/>
      <w:bookmarkStart w:id="661" w:name="_Toc436898901"/>
      <w:r>
        <w:rPr>
          <w:rFonts w:hint="eastAsia" w:ascii="宋体" w:hAnsi="宋体" w:cs="宋体"/>
          <w:b/>
          <w:color w:val="auto"/>
          <w:highlight w:val="none"/>
        </w:rPr>
        <w:t>5.2  发包人提供的材料和工程设备</w:t>
      </w:r>
      <w:bookmarkEnd w:id="658"/>
      <w:bookmarkEnd w:id="659"/>
      <w:bookmarkEnd w:id="660"/>
      <w:bookmarkEnd w:id="661"/>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5.2.1 材料的名称、规格、数量和价格：</w:t>
      </w:r>
      <w:r>
        <w:rPr>
          <w:rFonts w:hint="eastAsia" w:ascii="宋体" w:hAnsi="宋体" w:cs="宋体"/>
          <w:color w:val="auto"/>
          <w:szCs w:val="21"/>
          <w:highlight w:val="none"/>
          <w:u w:val="single"/>
        </w:rPr>
        <w:t>无</w:t>
      </w:r>
    </w:p>
    <w:p>
      <w:pPr>
        <w:spacing w:line="400" w:lineRule="exact"/>
        <w:ind w:firstLine="1050" w:firstLineChars="500"/>
        <w:rPr>
          <w:rFonts w:ascii="宋体" w:hAnsi="宋体" w:cs="宋体"/>
          <w:color w:val="auto"/>
          <w:szCs w:val="21"/>
          <w:highlight w:val="none"/>
        </w:rPr>
      </w:pPr>
      <w:r>
        <w:rPr>
          <w:rFonts w:hint="eastAsia" w:ascii="宋体" w:hAnsi="宋体" w:cs="宋体"/>
          <w:color w:val="auto"/>
          <w:szCs w:val="21"/>
          <w:highlight w:val="none"/>
        </w:rPr>
        <w:t>材料的交货方式、地点和日期：</w:t>
      </w:r>
      <w:r>
        <w:rPr>
          <w:rFonts w:hint="eastAsia" w:ascii="宋体" w:hAnsi="宋体" w:cs="宋体"/>
          <w:color w:val="auto"/>
          <w:szCs w:val="21"/>
          <w:highlight w:val="none"/>
          <w:u w:val="single"/>
        </w:rPr>
        <w:t>无</w:t>
      </w:r>
    </w:p>
    <w:p>
      <w:pPr>
        <w:spacing w:line="400" w:lineRule="exact"/>
        <w:ind w:firstLine="1050" w:firstLineChars="500"/>
        <w:rPr>
          <w:rFonts w:ascii="宋体" w:hAnsi="宋体" w:cs="宋体"/>
          <w:color w:val="auto"/>
          <w:szCs w:val="21"/>
          <w:highlight w:val="none"/>
        </w:rPr>
      </w:pPr>
      <w:r>
        <w:rPr>
          <w:rFonts w:hint="eastAsia" w:ascii="宋体" w:hAnsi="宋体" w:cs="宋体"/>
          <w:color w:val="auto"/>
          <w:szCs w:val="21"/>
          <w:highlight w:val="none"/>
        </w:rPr>
        <w:t>工程设备的名称、规格、数量和价格：</w:t>
      </w:r>
      <w:r>
        <w:rPr>
          <w:rFonts w:hint="eastAsia" w:ascii="宋体" w:hAnsi="宋体" w:cs="宋体"/>
          <w:color w:val="auto"/>
          <w:szCs w:val="21"/>
          <w:highlight w:val="none"/>
          <w:u w:val="single"/>
        </w:rPr>
        <w:t>无</w:t>
      </w:r>
    </w:p>
    <w:p>
      <w:pPr>
        <w:spacing w:line="400" w:lineRule="exact"/>
        <w:ind w:firstLine="1050" w:firstLineChars="500"/>
        <w:rPr>
          <w:rFonts w:ascii="宋体" w:hAnsi="宋体" w:cs="宋体"/>
          <w:color w:val="auto"/>
          <w:szCs w:val="21"/>
          <w:highlight w:val="none"/>
        </w:rPr>
      </w:pPr>
      <w:r>
        <w:rPr>
          <w:rFonts w:hint="eastAsia" w:ascii="宋体" w:hAnsi="宋体" w:cs="宋体"/>
          <w:color w:val="auto"/>
          <w:szCs w:val="21"/>
          <w:highlight w:val="none"/>
        </w:rPr>
        <w:t>工程设备的交货方式、地点和日期：</w:t>
      </w:r>
      <w:r>
        <w:rPr>
          <w:rFonts w:hint="eastAsia" w:ascii="宋体" w:hAnsi="宋体" w:cs="宋体"/>
          <w:color w:val="auto"/>
          <w:szCs w:val="21"/>
          <w:highlight w:val="none"/>
          <w:u w:val="single"/>
        </w:rPr>
        <w:t>无</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5.2.3  材料和工程设备的接收、运输与保管：</w:t>
      </w:r>
      <w:r>
        <w:rPr>
          <w:rFonts w:hint="eastAsia" w:ascii="宋体" w:hAnsi="宋体" w:cs="宋体"/>
          <w:color w:val="auto"/>
          <w:szCs w:val="21"/>
          <w:highlight w:val="none"/>
          <w:u w:val="single"/>
        </w:rPr>
        <w:t>无</w:t>
      </w:r>
    </w:p>
    <w:p>
      <w:pPr>
        <w:pStyle w:val="4"/>
        <w:spacing w:before="0" w:line="400" w:lineRule="exact"/>
        <w:ind w:firstLine="422"/>
        <w:rPr>
          <w:rFonts w:ascii="宋体" w:hAnsi="宋体" w:cs="宋体"/>
          <w:color w:val="auto"/>
          <w:sz w:val="21"/>
          <w:szCs w:val="21"/>
          <w:highlight w:val="none"/>
        </w:rPr>
      </w:pPr>
      <w:bookmarkStart w:id="662" w:name="_Toc234293048"/>
      <w:bookmarkStart w:id="663" w:name="_Toc16842"/>
      <w:bookmarkStart w:id="664" w:name="_Toc280258525"/>
      <w:bookmarkStart w:id="665" w:name="_Toc299705216"/>
      <w:bookmarkStart w:id="666" w:name="_Toc436898902"/>
      <w:bookmarkStart w:id="667" w:name="_Toc338361078"/>
      <w:bookmarkStart w:id="668" w:name="_Toc280257118"/>
      <w:r>
        <w:rPr>
          <w:rFonts w:hint="eastAsia" w:ascii="宋体" w:hAnsi="宋体" w:cs="宋体"/>
          <w:color w:val="auto"/>
          <w:sz w:val="21"/>
          <w:szCs w:val="21"/>
          <w:highlight w:val="none"/>
        </w:rPr>
        <w:t>6.  施工设备和临时设施</w:t>
      </w:r>
      <w:bookmarkEnd w:id="662"/>
      <w:bookmarkEnd w:id="663"/>
      <w:bookmarkEnd w:id="664"/>
      <w:bookmarkEnd w:id="665"/>
      <w:bookmarkEnd w:id="666"/>
      <w:bookmarkEnd w:id="667"/>
      <w:bookmarkEnd w:id="668"/>
    </w:p>
    <w:p>
      <w:pPr>
        <w:spacing w:line="400" w:lineRule="exact"/>
        <w:ind w:firstLine="422"/>
        <w:rPr>
          <w:rFonts w:ascii="宋体" w:hAnsi="宋体" w:cs="宋体"/>
          <w:b/>
          <w:color w:val="auto"/>
          <w:highlight w:val="none"/>
        </w:rPr>
      </w:pPr>
      <w:bookmarkStart w:id="669" w:name="_Toc280257119"/>
      <w:bookmarkStart w:id="670" w:name="_Toc299705217"/>
      <w:bookmarkStart w:id="671" w:name="_Toc390350193"/>
      <w:bookmarkStart w:id="672" w:name="_Toc436898903"/>
      <w:bookmarkStart w:id="673" w:name="_Toc234293049"/>
      <w:bookmarkStart w:id="674" w:name="_Toc280258526"/>
      <w:bookmarkStart w:id="675" w:name="_Toc338361079"/>
      <w:r>
        <w:rPr>
          <w:rFonts w:hint="eastAsia" w:ascii="宋体" w:hAnsi="宋体" w:cs="宋体"/>
          <w:b/>
          <w:color w:val="auto"/>
          <w:highlight w:val="none"/>
        </w:rPr>
        <w:t>6.1  承包人提供的施工设备和临时设施</w:t>
      </w:r>
      <w:bookmarkEnd w:id="669"/>
      <w:bookmarkEnd w:id="670"/>
      <w:bookmarkEnd w:id="671"/>
      <w:bookmarkEnd w:id="672"/>
      <w:bookmarkEnd w:id="673"/>
      <w:bookmarkEnd w:id="674"/>
      <w:bookmarkEnd w:id="675"/>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6.1.2  发包人承担修建临时设施费用的范围：</w:t>
      </w:r>
      <w:r>
        <w:rPr>
          <w:rFonts w:hint="eastAsia" w:ascii="宋体" w:hAnsi="宋体" w:cs="宋体"/>
          <w:color w:val="auto"/>
          <w:szCs w:val="21"/>
          <w:highlight w:val="none"/>
          <w:u w:val="single"/>
        </w:rPr>
        <w:t>项目所需修建临时设施的费用均包含在竞标总价内，不予调整，施工现场临时设施的布置和搭设应满足工程实际需要，具体方案必须报发包人认可</w:t>
      </w:r>
      <w:r>
        <w:rPr>
          <w:rFonts w:hint="eastAsia" w:ascii="宋体" w:hAnsi="宋体" w:cs="宋体"/>
          <w:color w:val="auto"/>
          <w:szCs w:val="21"/>
          <w:highlight w:val="none"/>
        </w:rPr>
        <w:t>。</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临时占地的申请：</w:t>
      </w:r>
      <w:r>
        <w:rPr>
          <w:rFonts w:hint="eastAsia" w:ascii="宋体" w:hAnsi="宋体" w:cs="宋体"/>
          <w:color w:val="auto"/>
          <w:szCs w:val="21"/>
          <w:highlight w:val="none"/>
          <w:u w:val="single"/>
        </w:rPr>
        <w:t>如有需要，承包人自行办理</w:t>
      </w:r>
      <w:r>
        <w:rPr>
          <w:rFonts w:hint="eastAsia" w:ascii="宋体" w:hAnsi="宋体" w:cs="宋体"/>
          <w:color w:val="auto"/>
          <w:szCs w:val="21"/>
          <w:highlight w:val="none"/>
        </w:rPr>
        <w:t>。</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临时占地相关费用：</w:t>
      </w:r>
      <w:r>
        <w:rPr>
          <w:rFonts w:hint="eastAsia" w:ascii="宋体" w:hAnsi="宋体" w:cs="宋体"/>
          <w:color w:val="auto"/>
          <w:szCs w:val="21"/>
          <w:highlight w:val="none"/>
          <w:u w:val="single"/>
        </w:rPr>
        <w:t>如有需要，承包人自行承担</w:t>
      </w:r>
      <w:r>
        <w:rPr>
          <w:rFonts w:hint="eastAsia" w:ascii="宋体" w:hAnsi="宋体" w:cs="宋体"/>
          <w:color w:val="auto"/>
          <w:szCs w:val="21"/>
          <w:highlight w:val="none"/>
        </w:rPr>
        <w:t>。</w:t>
      </w:r>
      <w:bookmarkStart w:id="676" w:name="_Toc234293050"/>
    </w:p>
    <w:bookmarkEnd w:id="676"/>
    <w:p>
      <w:pPr>
        <w:pStyle w:val="4"/>
        <w:spacing w:before="0" w:line="400" w:lineRule="exact"/>
        <w:ind w:firstLine="422"/>
        <w:rPr>
          <w:rFonts w:ascii="宋体" w:hAnsi="宋体" w:cs="宋体"/>
          <w:color w:val="auto"/>
          <w:sz w:val="21"/>
          <w:szCs w:val="21"/>
          <w:highlight w:val="none"/>
        </w:rPr>
      </w:pPr>
      <w:bookmarkStart w:id="677" w:name="_Toc15772"/>
      <w:bookmarkStart w:id="678" w:name="_Toc436898904"/>
      <w:bookmarkStart w:id="679" w:name="_Toc338361081"/>
      <w:bookmarkStart w:id="680" w:name="_Toc234293051"/>
      <w:bookmarkStart w:id="681" w:name="_Toc280257122"/>
      <w:bookmarkStart w:id="682" w:name="_Toc280258529"/>
      <w:bookmarkStart w:id="683" w:name="_Toc299705219"/>
      <w:r>
        <w:rPr>
          <w:rFonts w:hint="eastAsia" w:ascii="宋体" w:hAnsi="宋体" w:cs="宋体"/>
          <w:color w:val="auto"/>
          <w:sz w:val="21"/>
          <w:szCs w:val="21"/>
          <w:highlight w:val="none"/>
        </w:rPr>
        <w:t>7.  交通运输</w:t>
      </w:r>
      <w:bookmarkEnd w:id="677"/>
      <w:bookmarkEnd w:id="678"/>
      <w:bookmarkEnd w:id="679"/>
      <w:bookmarkEnd w:id="680"/>
      <w:bookmarkEnd w:id="681"/>
      <w:bookmarkEnd w:id="682"/>
      <w:bookmarkEnd w:id="683"/>
    </w:p>
    <w:p>
      <w:pPr>
        <w:spacing w:line="400" w:lineRule="exact"/>
        <w:ind w:firstLine="422"/>
        <w:rPr>
          <w:rFonts w:ascii="宋体" w:hAnsi="宋体" w:cs="宋体"/>
          <w:b/>
          <w:color w:val="auto"/>
          <w:highlight w:val="none"/>
        </w:rPr>
      </w:pPr>
      <w:bookmarkStart w:id="684" w:name="_Toc299705220"/>
      <w:bookmarkStart w:id="685" w:name="_Toc436898905"/>
      <w:bookmarkStart w:id="686" w:name="_Toc338361082"/>
      <w:bookmarkStart w:id="687" w:name="_Toc280258530"/>
      <w:bookmarkStart w:id="688" w:name="_Toc390350195"/>
      <w:bookmarkStart w:id="689" w:name="_Toc234293052"/>
      <w:bookmarkStart w:id="690" w:name="_Toc280257123"/>
      <w:r>
        <w:rPr>
          <w:rFonts w:hint="eastAsia" w:ascii="宋体" w:hAnsi="宋体" w:cs="宋体"/>
          <w:b/>
          <w:color w:val="auto"/>
          <w:highlight w:val="none"/>
        </w:rPr>
        <w:t>7.1  道路通行权和场外设施</w:t>
      </w:r>
      <w:bookmarkEnd w:id="684"/>
      <w:bookmarkEnd w:id="685"/>
      <w:bookmarkEnd w:id="686"/>
      <w:bookmarkEnd w:id="687"/>
      <w:bookmarkEnd w:id="688"/>
      <w:bookmarkEnd w:id="689"/>
      <w:bookmarkEnd w:id="690"/>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取得道路通行权、修建场外设施权的办理人：</w:t>
      </w:r>
      <w:r>
        <w:rPr>
          <w:rFonts w:hint="eastAsia" w:ascii="宋体" w:hAnsi="宋体" w:cs="宋体"/>
          <w:color w:val="auto"/>
          <w:szCs w:val="21"/>
          <w:highlight w:val="none"/>
          <w:u w:val="single"/>
        </w:rPr>
        <w:t>承包人、发包人共同协调</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相关费用：</w:t>
      </w:r>
      <w:r>
        <w:rPr>
          <w:rFonts w:hint="eastAsia" w:ascii="宋体" w:hAnsi="宋体" w:cs="宋体"/>
          <w:color w:val="auto"/>
          <w:szCs w:val="21"/>
          <w:highlight w:val="none"/>
          <w:u w:val="single"/>
        </w:rPr>
        <w:t>承包人承担</w:t>
      </w:r>
    </w:p>
    <w:p>
      <w:pPr>
        <w:spacing w:line="400" w:lineRule="exact"/>
        <w:ind w:firstLine="422"/>
        <w:rPr>
          <w:rFonts w:ascii="宋体" w:hAnsi="宋体" w:cs="宋体"/>
          <w:b/>
          <w:color w:val="auto"/>
          <w:highlight w:val="none"/>
        </w:rPr>
      </w:pPr>
      <w:bookmarkStart w:id="691" w:name="_Toc280257124"/>
      <w:bookmarkStart w:id="692" w:name="_Toc280258531"/>
      <w:bookmarkStart w:id="693" w:name="_Toc234293053"/>
      <w:bookmarkStart w:id="694" w:name="_Toc436898906"/>
      <w:bookmarkStart w:id="695" w:name="_Toc299705221"/>
      <w:bookmarkStart w:id="696" w:name="_Toc338361083"/>
      <w:bookmarkStart w:id="697" w:name="_Toc390350196"/>
      <w:r>
        <w:rPr>
          <w:rFonts w:hint="eastAsia" w:ascii="宋体" w:hAnsi="宋体" w:cs="宋体"/>
          <w:b/>
          <w:color w:val="auto"/>
          <w:highlight w:val="none"/>
        </w:rPr>
        <w:t>7.2  场内施工道路</w:t>
      </w:r>
      <w:bookmarkEnd w:id="691"/>
      <w:bookmarkEnd w:id="692"/>
      <w:bookmarkEnd w:id="693"/>
      <w:bookmarkEnd w:id="694"/>
      <w:bookmarkEnd w:id="695"/>
      <w:bookmarkEnd w:id="696"/>
      <w:bookmarkEnd w:id="697"/>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7.2.1  临时道</w:t>
      </w:r>
      <w:r>
        <w:rPr>
          <w:rFonts w:hint="eastAsia" w:ascii="宋体" w:hAnsi="宋体" w:cs="宋体"/>
          <w:color w:val="auto"/>
          <w:highlight w:val="none"/>
        </w:rPr>
        <w:t>路和交通设施的修建、维护、养护和管理人：</w:t>
      </w:r>
      <w:r>
        <w:rPr>
          <w:rFonts w:hint="eastAsia" w:ascii="宋体" w:hAnsi="宋体" w:cs="宋体"/>
          <w:color w:val="auto"/>
          <w:highlight w:val="none"/>
          <w:u w:val="single"/>
        </w:rPr>
        <w:t>承包人</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7.2.2  临时道路和交通设施相关费用的承担：</w:t>
      </w:r>
      <w:r>
        <w:rPr>
          <w:rFonts w:hint="eastAsia" w:ascii="宋体" w:hAnsi="宋体" w:cs="宋体"/>
          <w:color w:val="auto"/>
          <w:szCs w:val="21"/>
          <w:highlight w:val="none"/>
          <w:u w:val="single"/>
        </w:rPr>
        <w:t>承包人承担</w:t>
      </w:r>
      <w:r>
        <w:rPr>
          <w:rFonts w:hint="eastAsia" w:ascii="宋体" w:hAnsi="宋体" w:cs="宋体"/>
          <w:color w:val="auto"/>
          <w:szCs w:val="21"/>
          <w:highlight w:val="none"/>
        </w:rPr>
        <w:t>。</w:t>
      </w:r>
    </w:p>
    <w:p>
      <w:pPr>
        <w:pStyle w:val="4"/>
        <w:spacing w:before="0" w:line="400" w:lineRule="exact"/>
        <w:ind w:firstLine="422"/>
        <w:rPr>
          <w:rFonts w:ascii="宋体" w:hAnsi="宋体" w:cs="宋体"/>
          <w:color w:val="auto"/>
          <w:sz w:val="21"/>
          <w:szCs w:val="21"/>
          <w:highlight w:val="none"/>
        </w:rPr>
      </w:pPr>
      <w:bookmarkStart w:id="698" w:name="_Toc20996"/>
      <w:bookmarkStart w:id="699" w:name="_Toc280257126"/>
      <w:bookmarkStart w:id="700" w:name="_Toc234293054"/>
      <w:bookmarkStart w:id="701" w:name="_Toc436898907"/>
      <w:bookmarkStart w:id="702" w:name="_Toc338361085"/>
      <w:bookmarkStart w:id="703" w:name="_Toc280258533"/>
      <w:bookmarkStart w:id="704" w:name="_Toc299705223"/>
      <w:r>
        <w:rPr>
          <w:rFonts w:hint="eastAsia" w:ascii="宋体" w:hAnsi="宋体" w:cs="宋体"/>
          <w:color w:val="auto"/>
          <w:sz w:val="21"/>
          <w:szCs w:val="21"/>
          <w:highlight w:val="none"/>
        </w:rPr>
        <w:t>8.  测量放线</w:t>
      </w:r>
      <w:bookmarkEnd w:id="698"/>
      <w:bookmarkEnd w:id="699"/>
      <w:bookmarkEnd w:id="700"/>
      <w:bookmarkEnd w:id="701"/>
      <w:bookmarkEnd w:id="702"/>
      <w:bookmarkEnd w:id="703"/>
      <w:bookmarkEnd w:id="704"/>
    </w:p>
    <w:p>
      <w:pPr>
        <w:spacing w:line="400" w:lineRule="exact"/>
        <w:ind w:firstLine="422"/>
        <w:rPr>
          <w:rFonts w:ascii="宋体" w:hAnsi="宋体" w:cs="宋体"/>
          <w:b/>
          <w:color w:val="auto"/>
          <w:highlight w:val="none"/>
        </w:rPr>
      </w:pPr>
      <w:bookmarkStart w:id="705" w:name="_Toc280258534"/>
      <w:bookmarkStart w:id="706" w:name="_Toc234293055"/>
      <w:bookmarkStart w:id="707" w:name="_Toc299705224"/>
      <w:bookmarkStart w:id="708" w:name="_Toc390350198"/>
      <w:bookmarkStart w:id="709" w:name="_Toc436898908"/>
      <w:bookmarkStart w:id="710" w:name="_Toc338361086"/>
      <w:bookmarkStart w:id="711" w:name="_Toc280257127"/>
      <w:r>
        <w:rPr>
          <w:rFonts w:hint="eastAsia" w:ascii="宋体" w:hAnsi="宋体" w:cs="宋体"/>
          <w:b/>
          <w:color w:val="auto"/>
          <w:highlight w:val="none"/>
        </w:rPr>
        <w:t>8.1  施工控制网</w:t>
      </w:r>
      <w:bookmarkEnd w:id="705"/>
      <w:bookmarkEnd w:id="706"/>
      <w:bookmarkEnd w:id="707"/>
      <w:bookmarkEnd w:id="708"/>
      <w:bookmarkEnd w:id="709"/>
      <w:bookmarkEnd w:id="710"/>
      <w:bookmarkEnd w:id="711"/>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8.1.1  发包人提供测量基准点、基准线和水准点的期限：</w:t>
      </w:r>
      <w:r>
        <w:rPr>
          <w:rFonts w:hint="eastAsia" w:ascii="宋体" w:hAnsi="宋体" w:cs="宋体"/>
          <w:color w:val="auto"/>
          <w:szCs w:val="21"/>
          <w:highlight w:val="none"/>
          <w:u w:val="single"/>
        </w:rPr>
        <w:t>开工前7天</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施工控制网的测设：</w:t>
      </w:r>
      <w:r>
        <w:rPr>
          <w:rFonts w:hint="eastAsia" w:ascii="宋体" w:hAnsi="宋体" w:cs="宋体"/>
          <w:color w:val="auto"/>
          <w:szCs w:val="21"/>
          <w:highlight w:val="none"/>
          <w:u w:val="single"/>
        </w:rPr>
        <w:t>承包人</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报监理人审批施工控制网资料的期限：</w:t>
      </w:r>
      <w:r>
        <w:rPr>
          <w:rFonts w:hint="eastAsia" w:ascii="宋体" w:hAnsi="宋体" w:cs="宋体"/>
          <w:color w:val="auto"/>
          <w:szCs w:val="21"/>
          <w:highlight w:val="none"/>
          <w:u w:val="single"/>
        </w:rPr>
        <w:t>发出开工通知后3天</w:t>
      </w:r>
    </w:p>
    <w:p>
      <w:pPr>
        <w:spacing w:line="400" w:lineRule="exact"/>
        <w:ind w:firstLine="525" w:firstLineChars="250"/>
        <w:rPr>
          <w:rFonts w:ascii="宋体" w:hAnsi="宋体" w:cs="宋体"/>
          <w:color w:val="auto"/>
          <w:szCs w:val="21"/>
          <w:highlight w:val="none"/>
        </w:rPr>
      </w:pPr>
      <w:r>
        <w:rPr>
          <w:rFonts w:hint="eastAsia" w:ascii="宋体" w:hAnsi="宋体" w:cs="宋体"/>
          <w:snapToGrid w:val="0"/>
          <w:color w:val="auto"/>
          <w:szCs w:val="21"/>
          <w:highlight w:val="none"/>
        </w:rPr>
        <w:t>8.1．2基准资料错误的责任：</w:t>
      </w:r>
      <w:r>
        <w:rPr>
          <w:rFonts w:hint="eastAsia" w:ascii="宋体" w:hAnsi="宋体" w:cs="宋体"/>
          <w:snapToGrid w:val="0"/>
          <w:color w:val="auto"/>
          <w:szCs w:val="21"/>
          <w:highlight w:val="none"/>
          <w:u w:val="single"/>
        </w:rPr>
        <w:t>按通用条款执行</w:t>
      </w:r>
    </w:p>
    <w:p>
      <w:pPr>
        <w:pStyle w:val="4"/>
        <w:spacing w:before="0" w:line="400" w:lineRule="exact"/>
        <w:ind w:firstLine="422"/>
        <w:rPr>
          <w:rFonts w:ascii="宋体" w:hAnsi="宋体" w:cs="宋体"/>
          <w:color w:val="auto"/>
          <w:sz w:val="21"/>
          <w:szCs w:val="21"/>
          <w:highlight w:val="none"/>
        </w:rPr>
      </w:pPr>
      <w:bookmarkStart w:id="712" w:name="_Toc234293056"/>
      <w:bookmarkStart w:id="713" w:name="_Toc299705225"/>
      <w:bookmarkStart w:id="714" w:name="_Toc338361087"/>
      <w:bookmarkStart w:id="715" w:name="_Toc280258535"/>
      <w:bookmarkStart w:id="716" w:name="_Toc5223"/>
      <w:bookmarkStart w:id="717" w:name="_Toc436898909"/>
      <w:bookmarkStart w:id="718" w:name="_Toc280257128"/>
      <w:r>
        <w:rPr>
          <w:rFonts w:hint="eastAsia" w:ascii="宋体" w:hAnsi="宋体" w:cs="宋体"/>
          <w:color w:val="auto"/>
          <w:sz w:val="21"/>
          <w:szCs w:val="21"/>
          <w:highlight w:val="none"/>
        </w:rPr>
        <w:t>9.  施工安全、治安保卫和环境保护</w:t>
      </w:r>
      <w:bookmarkEnd w:id="712"/>
      <w:bookmarkEnd w:id="713"/>
      <w:bookmarkEnd w:id="714"/>
      <w:bookmarkEnd w:id="715"/>
      <w:bookmarkEnd w:id="716"/>
      <w:bookmarkEnd w:id="717"/>
      <w:bookmarkEnd w:id="718"/>
    </w:p>
    <w:p>
      <w:pPr>
        <w:spacing w:line="400" w:lineRule="exact"/>
        <w:ind w:firstLine="422"/>
        <w:rPr>
          <w:rFonts w:ascii="宋体" w:hAnsi="宋体" w:cs="宋体"/>
          <w:b/>
          <w:color w:val="auto"/>
          <w:highlight w:val="none"/>
        </w:rPr>
      </w:pPr>
      <w:bookmarkStart w:id="719" w:name="_Toc280258537"/>
      <w:bookmarkStart w:id="720" w:name="_Toc299705227"/>
      <w:bookmarkStart w:id="721" w:name="_Toc234293058"/>
      <w:bookmarkStart w:id="722" w:name="_Toc390350201"/>
      <w:bookmarkStart w:id="723" w:name="_Toc436898911"/>
      <w:bookmarkStart w:id="724" w:name="_Toc338361089"/>
      <w:bookmarkStart w:id="725" w:name="_Toc280257130"/>
      <w:r>
        <w:rPr>
          <w:rFonts w:hint="eastAsia" w:ascii="宋体" w:hAnsi="宋体" w:cs="宋体"/>
          <w:b/>
          <w:color w:val="auto"/>
          <w:highlight w:val="none"/>
        </w:rPr>
        <w:t>9.2  承包人的施工安全责任</w:t>
      </w:r>
      <w:bookmarkEnd w:id="719"/>
      <w:bookmarkEnd w:id="720"/>
      <w:bookmarkEnd w:id="721"/>
      <w:bookmarkEnd w:id="722"/>
      <w:bookmarkEnd w:id="723"/>
      <w:bookmarkEnd w:id="724"/>
      <w:bookmarkEnd w:id="725"/>
    </w:p>
    <w:p>
      <w:pPr>
        <w:spacing w:line="400" w:lineRule="exact"/>
        <w:ind w:firstLine="420"/>
        <w:rPr>
          <w:rFonts w:ascii="宋体" w:hAnsi="宋体" w:cs="宋体"/>
          <w:color w:val="auto"/>
          <w:szCs w:val="21"/>
          <w:highlight w:val="none"/>
        </w:rPr>
      </w:pPr>
      <w:bookmarkStart w:id="726" w:name="_Toc234293059"/>
      <w:r>
        <w:rPr>
          <w:rFonts w:hint="eastAsia" w:ascii="宋体" w:hAnsi="宋体" w:cs="宋体"/>
          <w:color w:val="auto"/>
          <w:szCs w:val="21"/>
          <w:highlight w:val="none"/>
        </w:rPr>
        <w:t>1、承包人必须保证本工程施工现场的安全文明施工，达到安全文明施工合格工地的要求，且安全文明施工费均按合格标准支付。</w:t>
      </w:r>
    </w:p>
    <w:p>
      <w:pPr>
        <w:numPr>
          <w:ilvl w:val="0"/>
          <w:numId w:val="7"/>
        </w:num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严格按照渝建发【2014】25号、渝建发【2008】169号等相关规定执行，行业主管部门或发包人对安全生产文明施工状况进行综合评定，如评定结果为不合格，承包人不得计取安全文明施工费。</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3、承包人应负责自身施工安全及对分包人的安全措施进行监督和管理，如因承包人原因发生安全责任事故，责任由承包人全部承担。</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4、施工期间，因承包人对第三人的侵权导致的损害，承包人自行负责。</w:t>
      </w:r>
    </w:p>
    <w:bookmarkEnd w:id="726"/>
    <w:p>
      <w:pPr>
        <w:spacing w:line="400" w:lineRule="exact"/>
        <w:ind w:firstLine="422"/>
        <w:rPr>
          <w:rFonts w:ascii="宋体" w:hAnsi="宋体" w:cs="宋体"/>
          <w:b/>
          <w:color w:val="auto"/>
          <w:highlight w:val="none"/>
        </w:rPr>
      </w:pPr>
      <w:bookmarkStart w:id="727" w:name="_Toc436898912"/>
      <w:bookmarkStart w:id="728" w:name="_Toc338361091"/>
      <w:bookmarkStart w:id="729" w:name="_Toc280258539"/>
      <w:bookmarkStart w:id="730" w:name="_Toc299705229"/>
      <w:bookmarkStart w:id="731" w:name="_Toc390350202"/>
      <w:bookmarkStart w:id="732" w:name="_Toc280257132"/>
      <w:bookmarkStart w:id="733" w:name="_Toc234293060"/>
      <w:r>
        <w:rPr>
          <w:rFonts w:hint="eastAsia" w:ascii="宋体" w:hAnsi="宋体" w:cs="宋体"/>
          <w:b/>
          <w:color w:val="auto"/>
          <w:highlight w:val="none"/>
        </w:rPr>
        <w:t>9.4  环境保护</w:t>
      </w:r>
      <w:bookmarkEnd w:id="727"/>
      <w:bookmarkEnd w:id="728"/>
      <w:bookmarkEnd w:id="729"/>
      <w:bookmarkEnd w:id="730"/>
      <w:bookmarkEnd w:id="731"/>
      <w:bookmarkEnd w:id="732"/>
      <w:bookmarkEnd w:id="733"/>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1、承包人应按照相关规定履行好施工扬尘控制、文明施工等责任。如违反规定，发包人有权对承包人处以2000元/次的罚款，且因此给发包人造成的一切损失由承包人全部承担。</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2、承包人需办理的有关施工场地交通、环卫和施工噪音管理等手续，应符合国家相关规定，并自行承担其费用。</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对施工中的地上地下建筑物（构筑物）管线、电力设施等应按有关规定加强监控测量和保护，相应的费用或因保护不当造成的损失及法律责任由承包人承担。承包人的施工机械设备进场前，应做好清洁、保养和维护工作。出场车辆应有专人打扫、清洗。有密封要求的按规定必须达到。</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4、承包人在施工期间必须保证周边单位的正常工作及居民的正常生活，尽量减少粉尘、噪声、振动等污染的扰民。保证周围建(构)筑物、地下及地上管线、地下人防等设施安全。</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5、做到进入现场的施工和作业人员统一着装，配证上岗，文明施工。按规定做好施工区域封闭及场地硬化工作，施工围墙(围挡)等维护设施应安全、美观、耐久，非施工相关人员不许入内。</w:t>
      </w:r>
    </w:p>
    <w:p>
      <w:pPr>
        <w:pStyle w:val="4"/>
        <w:spacing w:before="0" w:line="400" w:lineRule="exact"/>
        <w:ind w:firstLine="422"/>
        <w:rPr>
          <w:rFonts w:ascii="宋体" w:hAnsi="宋体" w:cs="宋体"/>
          <w:color w:val="auto"/>
          <w:sz w:val="21"/>
          <w:szCs w:val="21"/>
          <w:highlight w:val="none"/>
        </w:rPr>
      </w:pPr>
      <w:bookmarkStart w:id="734" w:name="_Toc280257135"/>
      <w:bookmarkStart w:id="735" w:name="_Toc338361094"/>
      <w:bookmarkStart w:id="736" w:name="_Toc299705232"/>
      <w:bookmarkStart w:id="737" w:name="_Toc436898913"/>
      <w:bookmarkStart w:id="738" w:name="_Toc234293063"/>
      <w:bookmarkStart w:id="739" w:name="_Toc18649"/>
      <w:bookmarkStart w:id="740" w:name="_Toc280258542"/>
      <w:r>
        <w:rPr>
          <w:rFonts w:hint="eastAsia" w:ascii="宋体" w:hAnsi="宋体" w:cs="宋体"/>
          <w:color w:val="auto"/>
          <w:sz w:val="21"/>
          <w:szCs w:val="21"/>
          <w:highlight w:val="none"/>
        </w:rPr>
        <w:t>11.  开工和竣工</w:t>
      </w:r>
      <w:bookmarkEnd w:id="734"/>
      <w:bookmarkEnd w:id="735"/>
      <w:bookmarkEnd w:id="736"/>
      <w:bookmarkEnd w:id="737"/>
      <w:bookmarkEnd w:id="738"/>
      <w:bookmarkEnd w:id="739"/>
      <w:bookmarkEnd w:id="740"/>
      <w:bookmarkStart w:id="741" w:name="_Toc234293064"/>
    </w:p>
    <w:bookmarkEnd w:id="741"/>
    <w:p>
      <w:pPr>
        <w:spacing w:line="400" w:lineRule="exact"/>
        <w:ind w:firstLine="422"/>
        <w:rPr>
          <w:rFonts w:ascii="宋体" w:hAnsi="宋体" w:cs="宋体"/>
          <w:b/>
          <w:color w:val="auto"/>
          <w:highlight w:val="none"/>
        </w:rPr>
      </w:pPr>
      <w:bookmarkStart w:id="742" w:name="_Toc436898914"/>
      <w:bookmarkStart w:id="743" w:name="_Toc299705234"/>
      <w:bookmarkStart w:id="744" w:name="_Toc338361096"/>
      <w:bookmarkStart w:id="745" w:name="_Toc234293065"/>
      <w:bookmarkStart w:id="746" w:name="_Toc390350204"/>
      <w:bookmarkStart w:id="747" w:name="_Toc280257137"/>
      <w:bookmarkStart w:id="748" w:name="_Toc280258544"/>
      <w:r>
        <w:rPr>
          <w:rFonts w:hint="eastAsia" w:ascii="宋体" w:hAnsi="宋体" w:cs="宋体"/>
          <w:b/>
          <w:color w:val="auto"/>
          <w:highlight w:val="none"/>
        </w:rPr>
        <w:t>11.5 承包人的工期延误</w:t>
      </w:r>
      <w:bookmarkEnd w:id="742"/>
      <w:bookmarkEnd w:id="743"/>
      <w:bookmarkEnd w:id="744"/>
      <w:bookmarkEnd w:id="745"/>
      <w:bookmarkEnd w:id="746"/>
      <w:bookmarkEnd w:id="747"/>
      <w:bookmarkEnd w:id="748"/>
    </w:p>
    <w:p>
      <w:pPr>
        <w:spacing w:line="400" w:lineRule="exact"/>
        <w:ind w:firstLine="420"/>
        <w:rPr>
          <w:rFonts w:ascii="宋体" w:hAnsi="宋体" w:cs="宋体"/>
          <w:color w:val="auto"/>
          <w:szCs w:val="21"/>
          <w:highlight w:val="none"/>
        </w:rPr>
      </w:pPr>
      <w:bookmarkStart w:id="749" w:name="_Toc280258546"/>
      <w:bookmarkStart w:id="750" w:name="_Toc280257139"/>
      <w:bookmarkStart w:id="751" w:name="_Toc338361098"/>
      <w:bookmarkStart w:id="752" w:name="_Toc299705236"/>
      <w:r>
        <w:rPr>
          <w:rFonts w:hint="eastAsia" w:ascii="宋体" w:hAnsi="宋体" w:cs="宋体"/>
          <w:color w:val="auto"/>
          <w:szCs w:val="21"/>
          <w:highlight w:val="none"/>
        </w:rPr>
        <w:t>1、承包人应按合同约定工期按时竣工并通过验收，若因承包人原因延误工期，则承包人须承担延期违约责任，每超过一天按500元/天的支付发包人违约金（累加计算），并赔偿给发包人造成的相关经济损失。</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除不可抗力外，因承包人原因当月达不到经承、发包双方认定的施工进度计划的要求时，则视为承包人违约，发包人将扣留当月未达到进度的相应工程价款，若下一个月仍未达到相应进度，则上一月扣留的工程价款则作为违约金由发包人扣除，每月以此类推。</w:t>
      </w:r>
    </w:p>
    <w:p>
      <w:pPr>
        <w:pStyle w:val="4"/>
        <w:spacing w:before="0" w:line="400" w:lineRule="exact"/>
        <w:ind w:firstLine="422"/>
        <w:rPr>
          <w:rFonts w:ascii="宋体" w:hAnsi="宋体" w:cs="宋体"/>
          <w:color w:val="auto"/>
          <w:sz w:val="21"/>
          <w:szCs w:val="21"/>
          <w:highlight w:val="none"/>
        </w:rPr>
      </w:pPr>
      <w:bookmarkStart w:id="753" w:name="_Toc2398"/>
      <w:bookmarkStart w:id="754" w:name="_Toc436898915"/>
      <w:r>
        <w:rPr>
          <w:rFonts w:hint="eastAsia" w:ascii="宋体" w:hAnsi="宋体" w:cs="宋体"/>
          <w:color w:val="auto"/>
          <w:sz w:val="21"/>
          <w:szCs w:val="21"/>
          <w:highlight w:val="none"/>
        </w:rPr>
        <w:t>12.  暂停施工</w:t>
      </w:r>
      <w:bookmarkEnd w:id="749"/>
      <w:bookmarkEnd w:id="750"/>
      <w:bookmarkEnd w:id="751"/>
      <w:bookmarkEnd w:id="752"/>
      <w:bookmarkEnd w:id="753"/>
      <w:bookmarkEnd w:id="754"/>
    </w:p>
    <w:p>
      <w:pPr>
        <w:spacing w:line="400" w:lineRule="exact"/>
        <w:ind w:firstLine="422"/>
        <w:rPr>
          <w:rFonts w:ascii="宋体" w:hAnsi="宋体" w:cs="宋体"/>
          <w:b/>
          <w:color w:val="auto"/>
          <w:highlight w:val="none"/>
        </w:rPr>
      </w:pPr>
      <w:bookmarkStart w:id="755" w:name="_Toc280257140"/>
      <w:bookmarkStart w:id="756" w:name="_Toc338361099"/>
      <w:bookmarkStart w:id="757" w:name="_Toc390350206"/>
      <w:bookmarkStart w:id="758" w:name="_Toc299705237"/>
      <w:bookmarkStart w:id="759" w:name="_Toc280258547"/>
      <w:bookmarkStart w:id="760" w:name="_Toc436898916"/>
      <w:bookmarkStart w:id="761" w:name="_Toc234293067"/>
      <w:r>
        <w:rPr>
          <w:rFonts w:hint="eastAsia" w:ascii="宋体" w:hAnsi="宋体" w:cs="宋体"/>
          <w:b/>
          <w:color w:val="auto"/>
          <w:highlight w:val="none"/>
        </w:rPr>
        <w:t>12.1  承包人暂停施工的责任</w:t>
      </w:r>
      <w:bookmarkEnd w:id="755"/>
      <w:bookmarkEnd w:id="756"/>
      <w:bookmarkEnd w:id="757"/>
      <w:bookmarkEnd w:id="758"/>
      <w:bookmarkEnd w:id="759"/>
      <w:bookmarkEnd w:id="760"/>
      <w:bookmarkEnd w:id="761"/>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法律法规约定的由承包人承担暂停施工责任的其他情形</w:t>
      </w:r>
    </w:p>
    <w:p>
      <w:pPr>
        <w:spacing w:line="400" w:lineRule="exact"/>
        <w:ind w:firstLine="422"/>
        <w:rPr>
          <w:rFonts w:ascii="宋体" w:hAnsi="宋体" w:cs="宋体"/>
          <w:b/>
          <w:color w:val="auto"/>
          <w:highlight w:val="none"/>
        </w:rPr>
      </w:pPr>
      <w:bookmarkStart w:id="762" w:name="_Toc280258548"/>
      <w:bookmarkStart w:id="763" w:name="_Toc234293068"/>
      <w:bookmarkStart w:id="764" w:name="_Toc338361100"/>
      <w:bookmarkStart w:id="765" w:name="_Toc299705238"/>
      <w:bookmarkStart w:id="766" w:name="_Toc390350207"/>
      <w:bookmarkStart w:id="767" w:name="_Toc280257141"/>
      <w:bookmarkStart w:id="768" w:name="_Toc436898917"/>
      <w:r>
        <w:rPr>
          <w:rFonts w:hint="eastAsia" w:ascii="宋体" w:hAnsi="宋体" w:cs="宋体"/>
          <w:b/>
          <w:color w:val="auto"/>
          <w:highlight w:val="none"/>
        </w:rPr>
        <w:t>12.2  发包人暂停施工的责任</w:t>
      </w:r>
      <w:bookmarkEnd w:id="762"/>
      <w:bookmarkEnd w:id="763"/>
      <w:bookmarkEnd w:id="764"/>
      <w:bookmarkEnd w:id="765"/>
      <w:bookmarkEnd w:id="766"/>
      <w:bookmarkEnd w:id="767"/>
      <w:bookmarkEnd w:id="768"/>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由于发包人原因引起的暂停施工(须发包人确认的书面文字资料为准)造成工期延误的，承包人有权要求发包人延长工期，但不得要求费用索赔。</w:t>
      </w:r>
    </w:p>
    <w:p>
      <w:pPr>
        <w:pStyle w:val="4"/>
        <w:spacing w:before="0" w:line="400" w:lineRule="exact"/>
        <w:ind w:firstLine="422"/>
        <w:rPr>
          <w:rFonts w:ascii="宋体" w:hAnsi="宋体" w:cs="宋体"/>
          <w:color w:val="auto"/>
          <w:sz w:val="21"/>
          <w:szCs w:val="21"/>
          <w:highlight w:val="none"/>
        </w:rPr>
      </w:pPr>
      <w:bookmarkStart w:id="769" w:name="_Toc280258549"/>
      <w:bookmarkStart w:id="770" w:name="_Toc280257142"/>
      <w:bookmarkStart w:id="771" w:name="_Toc299705239"/>
      <w:bookmarkStart w:id="772" w:name="_Toc436898918"/>
      <w:bookmarkStart w:id="773" w:name="_Toc31791"/>
      <w:bookmarkStart w:id="774" w:name="_Toc338361101"/>
      <w:r>
        <w:rPr>
          <w:rFonts w:hint="eastAsia" w:ascii="宋体" w:hAnsi="宋体" w:cs="宋体"/>
          <w:color w:val="auto"/>
          <w:sz w:val="21"/>
          <w:szCs w:val="21"/>
          <w:highlight w:val="none"/>
        </w:rPr>
        <w:t>13.  工程质量</w:t>
      </w:r>
      <w:bookmarkEnd w:id="769"/>
      <w:bookmarkEnd w:id="770"/>
      <w:bookmarkEnd w:id="771"/>
      <w:bookmarkEnd w:id="772"/>
      <w:bookmarkEnd w:id="773"/>
      <w:bookmarkEnd w:id="774"/>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13.1.1达到设计文件及国家现行有关施工质量验收规范、标准的要求，工程质量合格。</w:t>
      </w:r>
    </w:p>
    <w:p>
      <w:pPr>
        <w:spacing w:line="400" w:lineRule="exact"/>
        <w:ind w:firstLine="420"/>
        <w:rPr>
          <w:rFonts w:ascii="宋体" w:hAnsi="宋体" w:cs="宋体"/>
          <w:color w:val="auto"/>
          <w:szCs w:val="21"/>
          <w:highlight w:val="none"/>
        </w:rPr>
      </w:pPr>
      <w:bookmarkStart w:id="775" w:name="_Toc338361103"/>
      <w:bookmarkStart w:id="776" w:name="_Toc280257144"/>
      <w:bookmarkStart w:id="777" w:name="_Toc234293070"/>
      <w:bookmarkStart w:id="778" w:name="_Toc280258551"/>
      <w:bookmarkStart w:id="779" w:name="_Toc299705241"/>
      <w:r>
        <w:rPr>
          <w:rFonts w:hint="eastAsia" w:ascii="宋体" w:hAnsi="宋体" w:cs="宋体"/>
          <w:color w:val="auto"/>
          <w:szCs w:val="21"/>
          <w:highlight w:val="none"/>
        </w:rPr>
        <w:t>13.1.2</w:t>
      </w:r>
      <w:bookmarkEnd w:id="775"/>
      <w:bookmarkEnd w:id="776"/>
      <w:bookmarkEnd w:id="777"/>
      <w:bookmarkEnd w:id="778"/>
      <w:bookmarkEnd w:id="779"/>
      <w:r>
        <w:rPr>
          <w:rFonts w:hint="eastAsia" w:ascii="宋体" w:hAnsi="宋体" w:cs="宋体"/>
          <w:color w:val="auto"/>
          <w:szCs w:val="21"/>
          <w:highlight w:val="none"/>
        </w:rPr>
        <w:t>承包人提交工程质量保证措施文件的期限：</w:t>
      </w:r>
      <w:r>
        <w:rPr>
          <w:rFonts w:hint="eastAsia" w:ascii="宋体" w:hAnsi="宋体" w:cs="宋体"/>
          <w:color w:val="auto"/>
          <w:szCs w:val="21"/>
          <w:highlight w:val="none"/>
          <w:u w:val="single"/>
        </w:rPr>
        <w:t>与施工组织设计同时提交</w:t>
      </w:r>
    </w:p>
    <w:p>
      <w:pPr>
        <w:pStyle w:val="4"/>
        <w:spacing w:before="0" w:line="400" w:lineRule="exact"/>
        <w:ind w:firstLine="422"/>
        <w:rPr>
          <w:rFonts w:ascii="宋体" w:hAnsi="宋体" w:cs="宋体"/>
          <w:color w:val="auto"/>
          <w:sz w:val="21"/>
          <w:szCs w:val="21"/>
          <w:highlight w:val="none"/>
        </w:rPr>
      </w:pPr>
      <w:bookmarkStart w:id="780" w:name="_Toc338361104"/>
      <w:bookmarkStart w:id="781" w:name="_Toc280258552"/>
      <w:bookmarkStart w:id="782" w:name="_Toc299705242"/>
      <w:bookmarkStart w:id="783" w:name="_Toc436898919"/>
      <w:bookmarkStart w:id="784" w:name="_Toc280257145"/>
      <w:bookmarkStart w:id="785" w:name="_Toc23758"/>
      <w:r>
        <w:rPr>
          <w:rFonts w:hint="eastAsia" w:ascii="宋体" w:hAnsi="宋体" w:cs="宋体"/>
          <w:color w:val="auto"/>
          <w:sz w:val="21"/>
          <w:szCs w:val="21"/>
          <w:highlight w:val="none"/>
        </w:rPr>
        <w:t>14.  试验和检验</w:t>
      </w:r>
      <w:bookmarkEnd w:id="780"/>
      <w:bookmarkEnd w:id="781"/>
      <w:bookmarkEnd w:id="782"/>
      <w:bookmarkEnd w:id="783"/>
      <w:bookmarkEnd w:id="784"/>
      <w:bookmarkEnd w:id="785"/>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本项目承包人必须配合发包人完成试验和检验的相关工作。</w:t>
      </w:r>
    </w:p>
    <w:p>
      <w:pPr>
        <w:pStyle w:val="4"/>
        <w:spacing w:before="0" w:line="400" w:lineRule="exact"/>
        <w:ind w:firstLine="422"/>
        <w:rPr>
          <w:rFonts w:ascii="宋体" w:hAnsi="宋体" w:cs="宋体"/>
          <w:color w:val="auto"/>
          <w:sz w:val="21"/>
          <w:szCs w:val="21"/>
          <w:highlight w:val="none"/>
        </w:rPr>
      </w:pPr>
      <w:bookmarkStart w:id="786" w:name="_Toc436898920"/>
      <w:bookmarkStart w:id="787" w:name="_Toc280257146"/>
      <w:bookmarkStart w:id="788" w:name="_Toc280258553"/>
      <w:bookmarkStart w:id="789" w:name="_Toc299705243"/>
      <w:bookmarkStart w:id="790" w:name="_Toc19758"/>
      <w:bookmarkStart w:id="791" w:name="_Toc338361105"/>
      <w:r>
        <w:rPr>
          <w:rFonts w:hint="eastAsia" w:ascii="宋体" w:hAnsi="宋体" w:cs="宋体"/>
          <w:color w:val="auto"/>
          <w:sz w:val="21"/>
          <w:szCs w:val="21"/>
          <w:highlight w:val="none"/>
        </w:rPr>
        <w:t>15.  变更</w:t>
      </w:r>
      <w:bookmarkEnd w:id="786"/>
      <w:bookmarkEnd w:id="787"/>
      <w:bookmarkEnd w:id="788"/>
      <w:bookmarkEnd w:id="789"/>
      <w:bookmarkEnd w:id="790"/>
      <w:bookmarkEnd w:id="791"/>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15.1所有工程变更、价款变更只有经发包人同意后才能实施，通用条款中监理人变更的权利由发包人享有。非业主自身原因改变合同中任何一项工作的施工时间或改变已批准的施工工艺或顺序不属于变更范围。</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15.4变更的估价原则</w:t>
      </w:r>
    </w:p>
    <w:p>
      <w:pPr>
        <w:spacing w:line="400" w:lineRule="exact"/>
        <w:ind w:firstLine="420" w:firstLineChars="200"/>
        <w:rPr>
          <w:rFonts w:ascii="宋体" w:hAnsi="宋体" w:cs="宋体"/>
          <w:caps/>
          <w:color w:val="auto"/>
          <w:kern w:val="0"/>
          <w:szCs w:val="21"/>
          <w:highlight w:val="none"/>
        </w:rPr>
      </w:pPr>
      <w:r>
        <w:rPr>
          <w:rFonts w:hint="eastAsia" w:ascii="宋体" w:hAnsi="宋体" w:cs="宋体"/>
          <w:color w:val="auto"/>
          <w:szCs w:val="21"/>
          <w:highlight w:val="none"/>
        </w:rPr>
        <w:t>15.4.6</w:t>
      </w:r>
      <w:bookmarkStart w:id="792" w:name="招标文件04章合同条款及格式02_15_05"/>
      <w:bookmarkEnd w:id="792"/>
      <w:r>
        <w:rPr>
          <w:rFonts w:hint="eastAsia" w:ascii="宋体" w:hAnsi="宋体" w:cs="宋体"/>
          <w:caps/>
          <w:color w:val="auto"/>
          <w:kern w:val="0"/>
          <w:szCs w:val="21"/>
          <w:highlight w:val="none"/>
        </w:rPr>
        <w:t>设计变更及调整、施工过程中出现新增项目（含比选范围以外的项目）价款结算办法：</w:t>
      </w:r>
    </w:p>
    <w:p>
      <w:pPr>
        <w:spacing w:line="400" w:lineRule="exact"/>
        <w:ind w:firstLine="420" w:firstLineChars="200"/>
        <w:rPr>
          <w:rFonts w:ascii="宋体" w:hAnsi="宋体" w:cs="宋体"/>
          <w:caps/>
          <w:color w:val="auto"/>
          <w:kern w:val="0"/>
          <w:szCs w:val="21"/>
          <w:highlight w:val="none"/>
        </w:rPr>
      </w:pPr>
      <w:r>
        <w:rPr>
          <w:rFonts w:hint="eastAsia" w:ascii="宋体" w:hAnsi="宋体" w:cs="宋体"/>
          <w:caps/>
          <w:color w:val="auto"/>
          <w:kern w:val="0"/>
          <w:szCs w:val="21"/>
          <w:highlight w:val="none"/>
        </w:rPr>
        <w:t>①变更（包括签证）工程与报价的工程量清单中有相同的子项，则按报价时的相同子项的综合单价报价执行；</w:t>
      </w:r>
    </w:p>
    <w:p>
      <w:pPr>
        <w:spacing w:line="400" w:lineRule="exact"/>
        <w:ind w:firstLine="420" w:firstLineChars="200"/>
        <w:rPr>
          <w:rFonts w:ascii="宋体" w:hAnsi="宋体" w:cs="宋体"/>
          <w:caps/>
          <w:color w:val="auto"/>
          <w:kern w:val="0"/>
          <w:szCs w:val="21"/>
          <w:highlight w:val="none"/>
        </w:rPr>
      </w:pPr>
      <w:r>
        <w:rPr>
          <w:rFonts w:hint="eastAsia" w:ascii="宋体" w:hAnsi="宋体" w:cs="宋体"/>
          <w:caps/>
          <w:color w:val="auto"/>
          <w:kern w:val="0"/>
          <w:szCs w:val="21"/>
          <w:highlight w:val="none"/>
        </w:rPr>
        <w:t>②变更（包括签证）工程与报价的工程量清单中有类似子项的，</w:t>
      </w:r>
      <w:r>
        <w:rPr>
          <w:rFonts w:hint="eastAsia" w:ascii="宋体" w:hAnsi="宋体" w:cs="宋体"/>
          <w:color w:val="auto"/>
          <w:kern w:val="0"/>
          <w:szCs w:val="21"/>
          <w:highlight w:val="none"/>
        </w:rPr>
        <w:t>可在合理范围内参照类似子目的综合单价，对该子目主材的价格进行调整主材调整原则：发包人充分结合建筑市场行情核质核价，最终以</w:t>
      </w:r>
      <w:r>
        <w:rPr>
          <w:rFonts w:hint="eastAsia"/>
          <w:color w:val="auto"/>
          <w:highlight w:val="none"/>
        </w:rPr>
        <w:t>发包人核价为准</w:t>
      </w:r>
      <w:r>
        <w:rPr>
          <w:rFonts w:hint="eastAsia" w:ascii="宋体" w:hAnsi="宋体" w:cs="宋体"/>
          <w:color w:val="auto"/>
          <w:kern w:val="0"/>
          <w:szCs w:val="21"/>
          <w:highlight w:val="none"/>
        </w:rPr>
        <w:t>。</w:t>
      </w:r>
    </w:p>
    <w:p>
      <w:pPr>
        <w:spacing w:line="440" w:lineRule="exact"/>
        <w:ind w:firstLine="367" w:firstLineChars="175"/>
        <w:rPr>
          <w:rFonts w:ascii="宋体" w:hAnsi="宋体" w:cs="宋体"/>
          <w:caps/>
          <w:color w:val="auto"/>
          <w:kern w:val="0"/>
          <w:szCs w:val="21"/>
          <w:highlight w:val="none"/>
        </w:rPr>
      </w:pPr>
      <w:r>
        <w:rPr>
          <w:rFonts w:hint="eastAsia" w:ascii="宋体" w:hAnsi="宋体" w:cs="宋体"/>
          <w:color w:val="auto"/>
          <w:kern w:val="0"/>
          <w:szCs w:val="21"/>
          <w:highlight w:val="none"/>
        </w:rPr>
        <w:t>③</w:t>
      </w:r>
      <w:r>
        <w:rPr>
          <w:rFonts w:hint="eastAsia" w:ascii="宋体" w:hAnsi="宋体" w:cs="宋体"/>
          <w:caps/>
          <w:color w:val="auto"/>
          <w:kern w:val="0"/>
          <w:szCs w:val="21"/>
          <w:highlight w:val="none"/>
        </w:rPr>
        <w:t>变更（包括签证）工程与工程量清单中无相同子项或类似子项的，则按</w:t>
      </w:r>
      <w:r>
        <w:rPr>
          <w:rFonts w:hint="eastAsia" w:ascii="宋体" w:hAnsi="宋体" w:cs="宋体"/>
          <w:color w:val="auto"/>
          <w:kern w:val="0"/>
          <w:szCs w:val="21"/>
          <w:highlight w:val="none"/>
        </w:rPr>
        <w:t>《建设工程工程量清单计价规范》（GB50500-2013）、</w:t>
      </w:r>
      <w:r>
        <w:rPr>
          <w:rFonts w:hint="eastAsia" w:ascii="宋体" w:hAnsi="宋体" w:cs="宋体"/>
          <w:color w:val="auto"/>
          <w:szCs w:val="21"/>
          <w:highlight w:val="none"/>
        </w:rPr>
        <w:t>《房屋建筑与装饰工程工程量计算规范》（GB50854-2013）、《通用安装工程工程量计算规范》（GB50856-2013）</w:t>
      </w:r>
      <w:r>
        <w:rPr>
          <w:rFonts w:hint="eastAsia" w:ascii="宋体" w:hAnsi="宋体" w:cs="宋体"/>
          <w:color w:val="auto"/>
          <w:kern w:val="0"/>
          <w:szCs w:val="21"/>
          <w:highlight w:val="none"/>
        </w:rPr>
        <w:t>《重庆市建设工程工程量清单计价规则》（CQJJGZ-2013）、《重庆市建设工程工程量计算规则》（CQJLGZ-2013）、《重庆市房屋建筑与装饰工程计价定额》（CQJZZSDE-2018）、《重庆市通用安装工程计价定额》（CQAZDE-2018）、</w:t>
      </w:r>
      <w:r>
        <w:rPr>
          <w:rFonts w:hint="eastAsia" w:ascii="宋体" w:hAnsi="宋体" w:cs="宋体"/>
          <w:color w:val="auto"/>
          <w:szCs w:val="21"/>
          <w:highlight w:val="none"/>
        </w:rPr>
        <w:t>《重庆市房屋修缮工程计价定额》（CQXSDE-2018）</w:t>
      </w:r>
      <w:r>
        <w:rPr>
          <w:rFonts w:hint="eastAsia" w:ascii="宋体" w:hAnsi="宋体" w:cs="宋体"/>
          <w:color w:val="auto"/>
          <w:kern w:val="0"/>
          <w:szCs w:val="21"/>
          <w:highlight w:val="none"/>
        </w:rPr>
        <w:t>、《重庆市建设工程施工机械台班定额》（CQJXDE-2018）、《重庆市建设工程施工仪器仪表台班定额》（CQYQYBDE-2018）、《重庆市建设工程混凝土及砂浆配合比表》（CQPHBB-2018）、《重庆市建设工程费用定额》（CQFYDE-2018）</w:t>
      </w:r>
      <w:r>
        <w:rPr>
          <w:rFonts w:hint="eastAsia" w:ascii="宋体" w:hAnsi="宋体" w:cs="宋体"/>
          <w:caps/>
          <w:color w:val="auto"/>
          <w:kern w:val="0"/>
          <w:szCs w:val="21"/>
          <w:highlight w:val="none"/>
        </w:rPr>
        <w:t>及其相关配套文件的规定进行组价（其中材料及人工费合同价中有的按合同价计算，合同价</w:t>
      </w:r>
      <w:r>
        <w:rPr>
          <w:rFonts w:hint="eastAsia" w:ascii="宋体" w:hAnsi="宋体" w:cs="宋体"/>
          <w:caps/>
          <w:color w:val="auto"/>
          <w:kern w:val="0"/>
          <w:szCs w:val="21"/>
          <w:highlight w:val="none"/>
          <w:lang w:eastAsia="zh-CN"/>
        </w:rPr>
        <w:t>或施工当月重庆市建设工程信息价</w:t>
      </w:r>
      <w:r>
        <w:rPr>
          <w:rFonts w:hint="eastAsia" w:ascii="宋体" w:hAnsi="宋体" w:cs="宋体"/>
          <w:caps/>
          <w:color w:val="auto"/>
          <w:kern w:val="0"/>
          <w:szCs w:val="21"/>
          <w:highlight w:val="none"/>
        </w:rPr>
        <w:t>中没有的材料价格由</w:t>
      </w:r>
      <w:r>
        <w:rPr>
          <w:rFonts w:hint="eastAsia" w:ascii="宋体" w:hAnsi="宋体" w:cs="宋体"/>
          <w:color w:val="auto"/>
          <w:kern w:val="0"/>
          <w:szCs w:val="21"/>
          <w:highlight w:val="none"/>
        </w:rPr>
        <w:t>发包人充分结合建筑市场行情核质核价，最终以</w:t>
      </w:r>
      <w:r>
        <w:rPr>
          <w:rFonts w:hint="eastAsia"/>
          <w:color w:val="auto"/>
          <w:highlight w:val="none"/>
        </w:rPr>
        <w:t>发包人核价为准）</w:t>
      </w:r>
      <w:r>
        <w:rPr>
          <w:rFonts w:hint="eastAsia" w:ascii="宋体" w:hAnsi="宋体" w:cs="宋体"/>
          <w:caps/>
          <w:color w:val="auto"/>
          <w:kern w:val="0"/>
          <w:szCs w:val="21"/>
          <w:highlight w:val="none"/>
        </w:rPr>
        <w:t>，</w:t>
      </w:r>
      <w:r>
        <w:rPr>
          <w:rFonts w:hint="eastAsia" w:ascii="宋体" w:hAnsi="宋体" w:cs="宋体"/>
          <w:color w:val="auto"/>
          <w:szCs w:val="21"/>
          <w:highlight w:val="none"/>
        </w:rPr>
        <w:t>组价后按</w:t>
      </w:r>
      <w:r>
        <w:rPr>
          <w:rFonts w:hint="eastAsia" w:ascii="宋体" w:hAnsi="宋体" w:cs="宋体"/>
          <w:color w:val="auto"/>
          <w:szCs w:val="21"/>
          <w:highlight w:val="none"/>
          <w:lang w:eastAsia="zh-CN"/>
        </w:rPr>
        <w:t>中标价除以招标控制价同比例</w:t>
      </w:r>
      <w:r>
        <w:rPr>
          <w:rFonts w:hint="eastAsia" w:ascii="宋体" w:hAnsi="宋体" w:cs="宋体"/>
          <w:color w:val="auto"/>
          <w:szCs w:val="21"/>
          <w:highlight w:val="none"/>
        </w:rPr>
        <w:t>下浮</w:t>
      </w:r>
      <w:r>
        <w:rPr>
          <w:rFonts w:hint="eastAsia" w:ascii="宋体" w:hAnsi="宋体" w:cs="宋体"/>
          <w:color w:val="auto"/>
          <w:szCs w:val="21"/>
          <w:highlight w:val="none"/>
          <w:lang w:eastAsia="zh-CN"/>
        </w:rPr>
        <w:t>后单独</w:t>
      </w:r>
      <w:r>
        <w:rPr>
          <w:rFonts w:hint="eastAsia" w:ascii="宋体" w:hAnsi="宋体" w:cs="宋体"/>
          <w:color w:val="auto"/>
          <w:szCs w:val="21"/>
          <w:highlight w:val="none"/>
        </w:rPr>
        <w:t>结算</w:t>
      </w:r>
      <w:r>
        <w:rPr>
          <w:rFonts w:hint="eastAsia" w:ascii="宋体" w:hAnsi="宋体" w:cs="宋体"/>
          <w:caps/>
          <w:color w:val="auto"/>
          <w:kern w:val="0"/>
          <w:szCs w:val="21"/>
          <w:highlight w:val="none"/>
        </w:rPr>
        <w:t>（按实计算费用、</w:t>
      </w:r>
      <w:r>
        <w:rPr>
          <w:rFonts w:hint="eastAsia" w:ascii="宋体" w:hAnsi="宋体" w:cs="宋体"/>
          <w:color w:val="auto"/>
          <w:szCs w:val="21"/>
          <w:highlight w:val="none"/>
        </w:rPr>
        <w:t>未计价材料</w:t>
      </w:r>
      <w:r>
        <w:rPr>
          <w:rFonts w:hint="eastAsia" w:ascii="宋体" w:hAnsi="宋体" w:cs="宋体"/>
          <w:color w:val="auto"/>
          <w:szCs w:val="21"/>
          <w:highlight w:val="none"/>
          <w:lang w:eastAsia="zh-CN"/>
        </w:rPr>
        <w:t>、</w:t>
      </w:r>
      <w:r>
        <w:rPr>
          <w:rFonts w:hint="eastAsia" w:ascii="宋体" w:hAnsi="宋体" w:cs="宋体"/>
          <w:caps/>
          <w:color w:val="auto"/>
          <w:kern w:val="0"/>
          <w:szCs w:val="21"/>
          <w:highlight w:val="none"/>
        </w:rPr>
        <w:t>核价材料、材料价差、人工价差、安全文明施工费、规费、税金不下浮）。</w:t>
      </w:r>
    </w:p>
    <w:p>
      <w:pPr>
        <w:spacing w:line="420" w:lineRule="exact"/>
        <w:ind w:firstLine="367" w:firstLineChars="175"/>
        <w:rPr>
          <w:rFonts w:ascii="宋体" w:hAnsi="宋体" w:cs="宋体"/>
          <w:caps/>
          <w:color w:val="auto"/>
          <w:kern w:val="0"/>
          <w:szCs w:val="21"/>
          <w:highlight w:val="none"/>
        </w:rPr>
      </w:pPr>
      <w:r>
        <w:rPr>
          <w:rFonts w:hint="eastAsia" w:ascii="宋体" w:hAnsi="宋体" w:cs="宋体"/>
          <w:caps/>
          <w:color w:val="auto"/>
          <w:kern w:val="0"/>
          <w:szCs w:val="21"/>
          <w:highlight w:val="none"/>
        </w:rPr>
        <w:t>④变更工程量按</w:t>
      </w:r>
      <w:r>
        <w:rPr>
          <w:rFonts w:hint="eastAsia" w:ascii="宋体" w:hAnsi="宋体" w:cs="宋体"/>
          <w:color w:val="auto"/>
          <w:szCs w:val="21"/>
          <w:highlight w:val="none"/>
        </w:rPr>
        <w:t>《房屋建筑与装饰工程工程量计算规范》（GB50854-2013）、《通用安装工程工程量计算规范》（GB50856-2</w:t>
      </w:r>
      <w:r>
        <w:rPr>
          <w:rFonts w:hint="eastAsia" w:ascii="宋体" w:hAnsi="宋体" w:cs="宋体"/>
          <w:color w:val="auto"/>
          <w:kern w:val="0"/>
          <w:szCs w:val="21"/>
          <w:highlight w:val="none"/>
        </w:rPr>
        <w:t>013）、《重庆市建设工程工程量计算规则》（CQJLGZ-2013）</w:t>
      </w:r>
      <w:r>
        <w:rPr>
          <w:rFonts w:hint="eastAsia" w:ascii="宋体" w:hAnsi="宋体" w:cs="宋体"/>
          <w:caps/>
          <w:color w:val="auto"/>
          <w:kern w:val="0"/>
          <w:szCs w:val="21"/>
          <w:highlight w:val="none"/>
        </w:rPr>
        <w:t>的规定的计量规则计算。</w:t>
      </w:r>
    </w:p>
    <w:p>
      <w:pPr>
        <w:tabs>
          <w:tab w:val="left" w:pos="2032"/>
        </w:tabs>
        <w:autoSpaceDE w:val="0"/>
        <w:autoSpaceDN w:val="0"/>
        <w:adjustRightInd w:val="0"/>
        <w:spacing w:line="400" w:lineRule="exact"/>
        <w:ind w:right="58"/>
        <w:rPr>
          <w:rFonts w:ascii="宋体" w:hAnsi="宋体" w:cs="宋体"/>
          <w:color w:val="auto"/>
          <w:szCs w:val="21"/>
          <w:highlight w:val="none"/>
        </w:rPr>
      </w:pPr>
      <w:r>
        <w:rPr>
          <w:rFonts w:hint="eastAsia" w:ascii="宋体" w:hAnsi="宋体" w:cs="宋体"/>
          <w:color w:val="auto"/>
          <w:szCs w:val="21"/>
          <w:highlight w:val="none"/>
        </w:rPr>
        <w:t>15.5承包人的合理化建议</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15.5.2对承包人提出合理化建议的奖励方法：</w:t>
      </w:r>
      <w:r>
        <w:rPr>
          <w:rFonts w:hint="eastAsia" w:ascii="宋体" w:hAnsi="宋体" w:cs="宋体"/>
          <w:color w:val="auto"/>
          <w:szCs w:val="21"/>
          <w:highlight w:val="none"/>
          <w:u w:val="single"/>
        </w:rPr>
        <w:t>　不采用　　</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bookmarkStart w:id="793" w:name="招标文件04章合同条款及格式02_15_08"/>
      <w:bookmarkEnd w:id="793"/>
      <w:r>
        <w:rPr>
          <w:rFonts w:hint="eastAsia" w:ascii="宋体" w:hAnsi="宋体" w:cs="宋体"/>
          <w:color w:val="auto"/>
          <w:szCs w:val="21"/>
          <w:highlight w:val="none"/>
        </w:rPr>
        <w:t>15.8暂估价</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15.8.1  发包人、承包人在采用招标方式选择供应商或分包人时的权利与义务：</w:t>
      </w:r>
      <w:r>
        <w:rPr>
          <w:rFonts w:hint="eastAsia" w:ascii="宋体" w:hAnsi="宋体" w:cs="宋体"/>
          <w:color w:val="auto"/>
          <w:szCs w:val="21"/>
          <w:highlight w:val="none"/>
          <w:u w:val="single"/>
        </w:rPr>
        <w:t>发包人在工程量清单中给定暂估价的材料、工程设备和专业工程属于依法必须招标的范围并达到规定的规模标准的，发包人按相关规定及程序依法招标，承包人有建议权，对该范围项目的中标人承包人不得向其收取任何配合费及管理费；承包人应服从发包人对本项目的总体协调与管理。</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15.8.3  不属于依法必须招标的暂估价工程最终价格的估价人：</w:t>
      </w:r>
      <w:r>
        <w:rPr>
          <w:rFonts w:hint="eastAsia" w:ascii="宋体" w:hAnsi="宋体" w:cs="宋体"/>
          <w:color w:val="auto"/>
          <w:szCs w:val="21"/>
          <w:highlight w:val="none"/>
          <w:u w:val="single"/>
        </w:rPr>
        <w:t>发包人。</w:t>
      </w:r>
    </w:p>
    <w:p>
      <w:pPr>
        <w:pStyle w:val="4"/>
        <w:spacing w:before="0" w:line="400" w:lineRule="exact"/>
        <w:ind w:firstLine="422"/>
        <w:rPr>
          <w:rFonts w:ascii="宋体" w:hAnsi="宋体" w:cs="宋体"/>
          <w:color w:val="auto"/>
          <w:sz w:val="21"/>
          <w:szCs w:val="21"/>
          <w:highlight w:val="none"/>
        </w:rPr>
      </w:pPr>
      <w:bookmarkStart w:id="794" w:name="招标文件04章合同条款及格式02_16_01"/>
      <w:bookmarkEnd w:id="794"/>
      <w:bookmarkStart w:id="795" w:name="_Toc234293076"/>
      <w:bookmarkStart w:id="796" w:name="_Toc338361111"/>
      <w:bookmarkStart w:id="797" w:name="_Toc299705249"/>
      <w:bookmarkStart w:id="798" w:name="_Toc280258559"/>
      <w:bookmarkStart w:id="799" w:name="_Toc280257152"/>
      <w:bookmarkStart w:id="800" w:name="_Toc19715"/>
      <w:bookmarkStart w:id="801" w:name="_Toc436898921"/>
      <w:r>
        <w:rPr>
          <w:rFonts w:hint="eastAsia" w:ascii="宋体" w:hAnsi="宋体" w:cs="宋体"/>
          <w:color w:val="auto"/>
          <w:sz w:val="21"/>
          <w:szCs w:val="21"/>
          <w:highlight w:val="none"/>
        </w:rPr>
        <w:t>16. 价格调整</w:t>
      </w:r>
      <w:bookmarkEnd w:id="795"/>
      <w:bookmarkEnd w:id="796"/>
      <w:bookmarkEnd w:id="797"/>
      <w:bookmarkEnd w:id="798"/>
      <w:bookmarkEnd w:id="799"/>
      <w:r>
        <w:rPr>
          <w:rFonts w:hint="eastAsia" w:ascii="宋体" w:hAnsi="宋体" w:cs="宋体"/>
          <w:color w:val="auto"/>
          <w:sz w:val="21"/>
          <w:szCs w:val="21"/>
          <w:highlight w:val="none"/>
        </w:rPr>
        <w:t>：</w:t>
      </w:r>
      <w:bookmarkEnd w:id="800"/>
    </w:p>
    <w:p>
      <w:pPr>
        <w:spacing w:line="400" w:lineRule="exact"/>
        <w:ind w:firstLine="420" w:firstLineChars="200"/>
        <w:rPr>
          <w:rFonts w:ascii="宋体" w:hAnsi="宋体" w:cs="宋体"/>
          <w:caps/>
          <w:color w:val="auto"/>
          <w:kern w:val="0"/>
          <w:szCs w:val="21"/>
          <w:highlight w:val="none"/>
        </w:rPr>
      </w:pPr>
      <w:r>
        <w:rPr>
          <w:rFonts w:hint="eastAsia" w:ascii="宋体" w:hAnsi="宋体" w:cs="宋体"/>
          <w:color w:val="auto"/>
          <w:szCs w:val="21"/>
          <w:highlight w:val="none"/>
        </w:rPr>
        <w:t>16.1物价波动引起的价格调整：</w:t>
      </w:r>
      <w:bookmarkEnd w:id="801"/>
      <w:r>
        <w:rPr>
          <w:rFonts w:hint="eastAsia" w:ascii="宋体" w:hAnsi="宋体" w:cs="宋体"/>
          <w:caps/>
          <w:color w:val="auto"/>
          <w:kern w:val="0"/>
          <w:szCs w:val="21"/>
          <w:highlight w:val="none"/>
          <w:u w:val="single"/>
        </w:rPr>
        <w:t>不调整</w:t>
      </w:r>
      <w:r>
        <w:rPr>
          <w:rFonts w:hint="eastAsia" w:ascii="宋体" w:hAnsi="宋体" w:cs="宋体"/>
          <w:caps/>
          <w:color w:val="auto"/>
          <w:kern w:val="0"/>
          <w:szCs w:val="21"/>
          <w:highlight w:val="none"/>
        </w:rPr>
        <w:t xml:space="preserve">。 </w:t>
      </w:r>
    </w:p>
    <w:p>
      <w:pPr>
        <w:pStyle w:val="4"/>
        <w:spacing w:before="0" w:line="400" w:lineRule="exact"/>
        <w:ind w:firstLine="422"/>
        <w:rPr>
          <w:rFonts w:ascii="宋体" w:hAnsi="宋体" w:cs="宋体"/>
          <w:color w:val="auto"/>
          <w:sz w:val="21"/>
          <w:szCs w:val="21"/>
          <w:highlight w:val="none"/>
        </w:rPr>
      </w:pPr>
      <w:bookmarkStart w:id="802" w:name="_Toc280258564"/>
      <w:bookmarkStart w:id="803" w:name="_Toc299705253"/>
      <w:bookmarkStart w:id="804" w:name="_Toc280257157"/>
      <w:bookmarkStart w:id="805" w:name="_Toc338361115"/>
      <w:bookmarkStart w:id="806" w:name="_Toc234293079"/>
      <w:bookmarkStart w:id="807" w:name="_Toc917"/>
      <w:bookmarkStart w:id="808" w:name="_Toc436898922"/>
      <w:r>
        <w:rPr>
          <w:rFonts w:hint="eastAsia" w:ascii="宋体" w:hAnsi="宋体" w:cs="宋体"/>
          <w:color w:val="auto"/>
          <w:sz w:val="21"/>
          <w:szCs w:val="21"/>
          <w:highlight w:val="none"/>
        </w:rPr>
        <w:t xml:space="preserve">17.  </w:t>
      </w:r>
      <w:bookmarkEnd w:id="802"/>
      <w:bookmarkEnd w:id="803"/>
      <w:bookmarkEnd w:id="804"/>
      <w:bookmarkEnd w:id="805"/>
      <w:bookmarkEnd w:id="806"/>
      <w:r>
        <w:rPr>
          <w:rFonts w:hint="eastAsia" w:ascii="宋体" w:hAnsi="宋体" w:cs="宋体"/>
          <w:color w:val="auto"/>
          <w:sz w:val="21"/>
          <w:szCs w:val="21"/>
          <w:highlight w:val="none"/>
        </w:rPr>
        <w:t>计量与支付</w:t>
      </w:r>
      <w:bookmarkEnd w:id="807"/>
    </w:p>
    <w:p>
      <w:pPr>
        <w:spacing w:line="400" w:lineRule="exact"/>
        <w:ind w:firstLine="422"/>
        <w:rPr>
          <w:rFonts w:ascii="宋体" w:hAnsi="宋体" w:cs="宋体"/>
          <w:b/>
          <w:color w:val="auto"/>
          <w:highlight w:val="none"/>
        </w:rPr>
      </w:pPr>
      <w:r>
        <w:rPr>
          <w:rFonts w:hint="eastAsia" w:ascii="宋体" w:hAnsi="宋体" w:cs="宋体"/>
          <w:b/>
          <w:color w:val="auto"/>
          <w:highlight w:val="none"/>
        </w:rPr>
        <w:t>17.1计量</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17.1.2计量方法</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工程量计算规则执行《房屋建筑与装饰工程工程量计算规范》（GB50854-2013）、《通用安装工程工程量计算规范》（GB50856-2</w:t>
      </w:r>
      <w:r>
        <w:rPr>
          <w:rFonts w:hint="eastAsia" w:ascii="宋体" w:hAnsi="宋体" w:cs="宋体"/>
          <w:color w:val="auto"/>
          <w:kern w:val="0"/>
          <w:szCs w:val="21"/>
          <w:highlight w:val="none"/>
        </w:rPr>
        <w:t>013）、《重庆市建设工程工程量计算规则》（CQJLGZ-2013）</w:t>
      </w:r>
      <w:r>
        <w:rPr>
          <w:rFonts w:hint="eastAsia" w:ascii="宋体" w:hAnsi="宋体" w:cs="宋体"/>
          <w:color w:val="auto"/>
          <w:szCs w:val="21"/>
          <w:highlight w:val="none"/>
        </w:rPr>
        <w:t>。除合同另有约定外，承包人实际完成的工程量按约定的工程量计算规则和有合同约束力的图纸进行计量。</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17.1.3计量周期</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(1)本合同的计量周期为月，每月25日为当月计量截止日期(不含当日)和下月计量起始日期(含当日)。</w:t>
      </w:r>
    </w:p>
    <w:p>
      <w:pPr>
        <w:spacing w:line="400" w:lineRule="exact"/>
        <w:ind w:firstLine="422"/>
        <w:rPr>
          <w:rFonts w:ascii="宋体" w:hAnsi="宋体" w:cs="宋体"/>
          <w:b/>
          <w:color w:val="auto"/>
          <w:highlight w:val="none"/>
        </w:rPr>
      </w:pPr>
      <w:r>
        <w:rPr>
          <w:rFonts w:hint="eastAsia" w:ascii="宋体" w:hAnsi="宋体" w:cs="宋体"/>
          <w:b/>
          <w:color w:val="auto"/>
          <w:highlight w:val="none"/>
        </w:rPr>
        <w:t>17.2预付款</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不采用。</w:t>
      </w:r>
    </w:p>
    <w:p>
      <w:pPr>
        <w:spacing w:line="400" w:lineRule="exact"/>
        <w:ind w:firstLine="422"/>
        <w:rPr>
          <w:rFonts w:ascii="宋体" w:hAnsi="宋体" w:cs="宋体"/>
          <w:b/>
          <w:color w:val="auto"/>
          <w:highlight w:val="none"/>
        </w:rPr>
      </w:pPr>
      <w:r>
        <w:rPr>
          <w:rFonts w:hint="eastAsia" w:ascii="宋体" w:hAnsi="宋体" w:cs="宋体"/>
          <w:b/>
          <w:color w:val="auto"/>
          <w:highlight w:val="none"/>
        </w:rPr>
        <w:t>17.3 工程款（进度款）支付</w:t>
      </w:r>
      <w:bookmarkEnd w:id="808"/>
    </w:p>
    <w:p>
      <w:pPr>
        <w:snapToGrid w:val="0"/>
        <w:spacing w:line="360" w:lineRule="auto"/>
        <w:ind w:left="315" w:leftChars="150" w:firstLine="102" w:firstLineChars="49"/>
        <w:rPr>
          <w:rFonts w:ascii="宋体" w:hAnsi="宋体" w:cs="宋体"/>
          <w:color w:val="auto"/>
          <w:kern w:val="0"/>
          <w:szCs w:val="21"/>
          <w:highlight w:val="none"/>
        </w:rPr>
      </w:pPr>
      <w:bookmarkStart w:id="809" w:name="_Toc280257158"/>
      <w:bookmarkStart w:id="810" w:name="_Toc234293080"/>
      <w:bookmarkStart w:id="811" w:name="_Toc299705255"/>
      <w:bookmarkStart w:id="812" w:name="_Toc280258565"/>
      <w:bookmarkStart w:id="813" w:name="_Toc436898923"/>
      <w:bookmarkStart w:id="814" w:name="_Toc338361117"/>
      <w:r>
        <w:rPr>
          <w:rFonts w:hint="eastAsia" w:ascii="宋体" w:hAnsi="宋体" w:cs="宋体"/>
          <w:color w:val="auto"/>
          <w:kern w:val="0"/>
          <w:szCs w:val="21"/>
          <w:highlight w:val="none"/>
        </w:rPr>
        <w:t>进度款支付方法：</w:t>
      </w:r>
    </w:p>
    <w:p>
      <w:pPr>
        <w:snapToGrid w:val="0"/>
        <w:spacing w:line="360" w:lineRule="auto"/>
        <w:ind w:left="315" w:leftChars="150" w:firstLine="102" w:firstLineChars="49"/>
        <w:rPr>
          <w:rFonts w:ascii="宋体" w:hAnsi="宋体" w:cs="宋体"/>
          <w:color w:val="auto"/>
          <w:kern w:val="0"/>
          <w:szCs w:val="21"/>
          <w:highlight w:val="none"/>
        </w:rPr>
      </w:pPr>
      <w:r>
        <w:rPr>
          <w:rFonts w:hint="eastAsia" w:ascii="宋体" w:hAnsi="宋体" w:cs="宋体"/>
          <w:color w:val="auto"/>
          <w:kern w:val="0"/>
          <w:szCs w:val="21"/>
          <w:highlight w:val="none"/>
        </w:rPr>
        <w:t>1.本工程招标人不支付预付款。</w:t>
      </w:r>
    </w:p>
    <w:p>
      <w:pPr>
        <w:snapToGrid w:val="0"/>
        <w:spacing w:line="360" w:lineRule="auto"/>
        <w:ind w:left="315" w:leftChars="150" w:firstLine="102" w:firstLineChars="49"/>
        <w:rPr>
          <w:rFonts w:ascii="宋体" w:hAnsi="宋体" w:cs="宋体"/>
          <w:color w:val="auto"/>
          <w:kern w:val="0"/>
          <w:szCs w:val="21"/>
          <w:highlight w:val="none"/>
        </w:rPr>
      </w:pPr>
      <w:r>
        <w:rPr>
          <w:rFonts w:hint="eastAsia" w:ascii="宋体" w:hAnsi="宋体" w:cs="宋体"/>
          <w:color w:val="auto"/>
          <w:kern w:val="0"/>
          <w:szCs w:val="21"/>
          <w:highlight w:val="none"/>
        </w:rPr>
        <w:t>2.本工程4个女卫生间完成施工并预验收合格后支付至合同总额的40%，本工程全部竣工验收合格，支付至合同总额的90%。</w:t>
      </w:r>
    </w:p>
    <w:p>
      <w:pPr>
        <w:snapToGrid w:val="0"/>
        <w:spacing w:line="360" w:lineRule="auto"/>
        <w:ind w:left="315" w:leftChars="150" w:firstLine="102" w:firstLineChars="49"/>
        <w:rPr>
          <w:rFonts w:ascii="宋体" w:hAnsi="宋体" w:cs="宋体"/>
          <w:color w:val="auto"/>
          <w:kern w:val="0"/>
          <w:szCs w:val="21"/>
          <w:highlight w:val="none"/>
        </w:rPr>
      </w:pPr>
      <w:r>
        <w:rPr>
          <w:rFonts w:hint="eastAsia" w:ascii="宋体" w:hAnsi="宋体" w:cs="宋体"/>
          <w:color w:val="auto"/>
          <w:kern w:val="0"/>
          <w:szCs w:val="21"/>
          <w:highlight w:val="none"/>
        </w:rPr>
        <w:t>3.承包人提交完整的竣工结算资料，待审计（社会审计或者是国家审计）出具正式审计报告，承包人缴纳审定金额3%的质保金后15个工作日内支付剩余工程款，质保金在质保期满后30日内无息退还。</w:t>
      </w:r>
    </w:p>
    <w:p>
      <w:pPr>
        <w:pStyle w:val="28"/>
        <w:ind w:left="315" w:leftChars="150" w:firstLine="102" w:firstLineChars="49"/>
        <w:rPr>
          <w:rFonts w:hint="eastAsia" w:ascii="宋体" w:hAnsi="宋体" w:cs="宋体"/>
          <w:color w:val="auto"/>
          <w:kern w:val="0"/>
          <w:szCs w:val="21"/>
          <w:highlight w:val="none"/>
        </w:rPr>
      </w:pP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en-US" w:eastAsia="zh-CN"/>
        </w:rPr>
        <w:t>比选范围内的</w:t>
      </w:r>
      <w:r>
        <w:rPr>
          <w:rFonts w:hint="eastAsia" w:ascii="宋体" w:hAnsi="宋体" w:cs="宋体"/>
          <w:color w:val="auto"/>
          <w:kern w:val="0"/>
          <w:sz w:val="21"/>
          <w:szCs w:val="21"/>
          <w:highlight w:val="none"/>
        </w:rPr>
        <w:t>工程设计变更或工程量增加部分的价款竣工结算后支付（</w:t>
      </w:r>
      <w:r>
        <w:rPr>
          <w:rFonts w:hint="eastAsia" w:ascii="宋体" w:hAnsi="宋体" w:cs="宋体"/>
          <w:color w:val="auto"/>
          <w:kern w:val="0"/>
          <w:sz w:val="21"/>
          <w:szCs w:val="21"/>
          <w:highlight w:val="none"/>
          <w:lang w:eastAsia="zh-CN"/>
        </w:rPr>
        <w:t>结算金额</w:t>
      </w:r>
      <w:r>
        <w:rPr>
          <w:rFonts w:hint="eastAsia" w:ascii="宋体" w:hAnsi="宋体" w:cs="宋体"/>
          <w:color w:val="auto"/>
          <w:kern w:val="0"/>
          <w:sz w:val="21"/>
          <w:szCs w:val="21"/>
          <w:highlight w:val="none"/>
        </w:rPr>
        <w:t>不得超过合同金额的8%</w:t>
      </w:r>
      <w:r>
        <w:rPr>
          <w:rFonts w:hint="eastAsia" w:ascii="宋体" w:hAnsi="宋体" w:cs="宋体"/>
          <w:color w:val="auto"/>
          <w:kern w:val="0"/>
          <w:sz w:val="21"/>
          <w:szCs w:val="21"/>
          <w:highlight w:val="none"/>
          <w:lang w:val="en-US" w:eastAsia="zh-CN"/>
        </w:rPr>
        <w:t>,超过部分金额不予纳入完工结算金额，比选范围以外的设计变更和工程增量除外</w:t>
      </w:r>
      <w:r>
        <w:rPr>
          <w:rFonts w:hint="eastAsia" w:ascii="宋体" w:hAnsi="宋体" w:cs="宋体"/>
          <w:color w:val="auto"/>
          <w:kern w:val="0"/>
          <w:sz w:val="21"/>
          <w:szCs w:val="21"/>
          <w:highlight w:val="none"/>
        </w:rPr>
        <w:t>）</w:t>
      </w:r>
      <w:r>
        <w:rPr>
          <w:rFonts w:hint="eastAsia" w:ascii="宋体" w:hAnsi="宋体" w:cs="宋体"/>
          <w:color w:val="auto"/>
          <w:kern w:val="0"/>
          <w:szCs w:val="21"/>
          <w:highlight w:val="none"/>
        </w:rPr>
        <w:t>。</w:t>
      </w:r>
    </w:p>
    <w:p>
      <w:pPr>
        <w:pStyle w:val="28"/>
        <w:ind w:left="315" w:leftChars="150" w:firstLine="102" w:firstLineChars="49"/>
        <w:rPr>
          <w:rFonts w:ascii="宋体" w:hAnsi="宋体" w:cs="宋体"/>
          <w:color w:val="auto"/>
          <w:kern w:val="0"/>
          <w:sz w:val="21"/>
          <w:szCs w:val="21"/>
          <w:highlight w:val="none"/>
        </w:rPr>
      </w:pPr>
      <w:r>
        <w:rPr>
          <w:rFonts w:hint="eastAsia" w:ascii="宋体" w:hAnsi="宋体" w:cs="宋体"/>
          <w:color w:val="auto"/>
          <w:kern w:val="0"/>
          <w:sz w:val="21"/>
          <w:szCs w:val="21"/>
          <w:highlight w:val="none"/>
        </w:rPr>
        <w:t>5、以上支付条件均需提供相应金额及合法合规的票据。</w:t>
      </w:r>
    </w:p>
    <w:p>
      <w:pPr>
        <w:spacing w:line="400" w:lineRule="exact"/>
        <w:ind w:firstLine="422"/>
        <w:rPr>
          <w:rFonts w:ascii="宋体" w:hAnsi="宋体" w:cs="宋体"/>
          <w:b/>
          <w:color w:val="auto"/>
          <w:kern w:val="0"/>
          <w:szCs w:val="21"/>
          <w:highlight w:val="none"/>
        </w:rPr>
      </w:pPr>
      <w:r>
        <w:rPr>
          <w:rFonts w:hint="eastAsia" w:ascii="宋体" w:hAnsi="宋体" w:cs="宋体"/>
          <w:b/>
          <w:color w:val="auto"/>
          <w:kern w:val="0"/>
          <w:szCs w:val="21"/>
          <w:highlight w:val="none"/>
        </w:rPr>
        <w:t>17.5 竣工结算</w:t>
      </w:r>
      <w:bookmarkEnd w:id="809"/>
      <w:bookmarkEnd w:id="810"/>
      <w:bookmarkEnd w:id="811"/>
      <w:bookmarkEnd w:id="812"/>
      <w:bookmarkEnd w:id="813"/>
      <w:bookmarkEnd w:id="814"/>
    </w:p>
    <w:p>
      <w:pPr>
        <w:spacing w:line="400" w:lineRule="exact"/>
        <w:ind w:firstLine="367" w:firstLineChars="175"/>
        <w:rPr>
          <w:rFonts w:ascii="宋体" w:hAnsi="宋体" w:cs="宋体"/>
          <w:color w:val="auto"/>
          <w:szCs w:val="21"/>
          <w:highlight w:val="none"/>
        </w:rPr>
      </w:pPr>
      <w:bookmarkStart w:id="815" w:name="_Toc436898924"/>
      <w:bookmarkStart w:id="816" w:name="_Toc280257160"/>
      <w:bookmarkStart w:id="817" w:name="_Toc234293082"/>
      <w:bookmarkStart w:id="818" w:name="_Toc735"/>
      <w:bookmarkStart w:id="819" w:name="_Toc299705257"/>
      <w:bookmarkStart w:id="820" w:name="_Toc280258567"/>
      <w:bookmarkStart w:id="821" w:name="_Toc338361119"/>
      <w:r>
        <w:rPr>
          <w:rFonts w:hint="eastAsia" w:ascii="宋体" w:hAnsi="宋体" w:cs="宋体"/>
          <w:color w:val="auto"/>
          <w:szCs w:val="21"/>
          <w:highlight w:val="none"/>
        </w:rPr>
        <w:t>结算总价＝分部分项工程量清单结算价+措施费+分部分项工程量清单新增或变更等引起的增（减）子项结算价+其他项目清单结算金额+安全文明施工费+规费+税金+合同约定其它费用。</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各部分的结算原则如下：</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1、分部分项工程量清单结算价：</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以合同中的分部分项工程量清单中子项综合单价×结算工程量。</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①结算工程量：按《房屋建筑与装饰工程工程量计算规范》（GB50854-2013）、《通用安装工程工程量计算规范》（GB50856-2013）、《重庆市建设工程工程量计算规则》（CQJLGZ-2013）规定的计量方法按实计量。</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实际工程量以第三方审计机构或医院审计部门审计竣工结算认定的工程量为准，其中，承包人必须针对隐蔽工程提前向发包人提出申请，经发包人组织验收合格后，方可进行下一步工序。</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措施费：</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①施工组织措施项目费：以承包人竞选报价时的施工组织措施项目清单报价包干使用。</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②施工技术措施项目费：</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3、设计变更及调整、施工过程中出现新增项目（含比选范围以外的项目）价款结算办法：</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①变更（包括签证）工程与报价的工程量清单中有相同的子项，则按报价时的相同子项的综合单价报价执行；</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②变更（包括签证）工程与报价的工程量清单中有类似子项的，可在合理范围内参照类似子目的综合单价，对该子目主材的价格进行调整主材调整原则：发包人充分结合建筑市场行情核质核价，最终以发包人、承包人双方核价为准。调整后的综合单价作为类似子目的综合单价（类似项目由发包人确定，竞选的人工、主材单价表作为合同附件）。</w:t>
      </w:r>
    </w:p>
    <w:p>
      <w:pPr>
        <w:spacing w:line="400" w:lineRule="exact"/>
        <w:ind w:firstLine="367" w:firstLineChars="17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③变更（包括签证）工程与工程量清单中无相同子项或类似子项的，则按《建设工程工程量清单计价规范》（GB50500-2013）、《房屋建筑与装饰工程工程量计算规范》（GB50854-2013）、《通用安装工程工程量计算规范》（GB50856-2013）《重庆市建设工程工程量清单计价规则》（CQJJGZ-2013）、《重庆市建设工程工程量计算规则》（CQJLGZ-2013）、《重庆市房屋建筑与装饰工程计价定额》（CQJZZSDE-2018）、《重庆市通用安装工程计价定额》（CQAZDE-2018）、《重庆市房屋修缮工程计价定额》（CQXSDE-2018）、《重庆市建设工程施工机械台班定额》（CQJXDE-2018）、《重庆市建设工程施工仪器仪表台班定额》（CQYQYBDE-2018）、《重庆市建设工程混凝土及砂浆配合比表》（CQPHBB-2018）、《重庆市建设工程费用定额》（CQFYDE-2018）</w:t>
      </w:r>
      <w:r>
        <w:rPr>
          <w:rFonts w:hint="eastAsia" w:ascii="宋体" w:hAnsi="宋体" w:cs="宋体"/>
          <w:caps/>
          <w:color w:val="auto"/>
          <w:kern w:val="0"/>
          <w:szCs w:val="21"/>
          <w:highlight w:val="none"/>
        </w:rPr>
        <w:t>及其相关配套文件的规定进行组价（其中材料及人工费合同价中有的按合同价计算，合同价</w:t>
      </w:r>
      <w:r>
        <w:rPr>
          <w:rFonts w:hint="eastAsia" w:ascii="宋体" w:hAnsi="宋体" w:cs="宋体"/>
          <w:caps/>
          <w:color w:val="auto"/>
          <w:kern w:val="0"/>
          <w:szCs w:val="21"/>
          <w:highlight w:val="none"/>
          <w:lang w:eastAsia="zh-CN"/>
        </w:rPr>
        <w:t>或施工当月重庆市建设工程信息价</w:t>
      </w:r>
      <w:r>
        <w:rPr>
          <w:rFonts w:hint="eastAsia" w:ascii="宋体" w:hAnsi="宋体" w:cs="宋体"/>
          <w:caps/>
          <w:color w:val="auto"/>
          <w:kern w:val="0"/>
          <w:szCs w:val="21"/>
          <w:highlight w:val="none"/>
        </w:rPr>
        <w:t>中没有的材料价格由</w:t>
      </w:r>
      <w:r>
        <w:rPr>
          <w:rFonts w:hint="eastAsia" w:ascii="宋体" w:hAnsi="宋体" w:cs="宋体"/>
          <w:color w:val="auto"/>
          <w:kern w:val="0"/>
          <w:szCs w:val="21"/>
          <w:highlight w:val="none"/>
        </w:rPr>
        <w:t>发包人充分结合建筑市场行情核质核价，最终以</w:t>
      </w:r>
      <w:r>
        <w:rPr>
          <w:rFonts w:hint="eastAsia"/>
          <w:color w:val="auto"/>
          <w:highlight w:val="none"/>
        </w:rPr>
        <w:t>发包人核价为准）</w:t>
      </w:r>
      <w:r>
        <w:rPr>
          <w:rFonts w:hint="eastAsia"/>
          <w:color w:val="auto"/>
          <w:highlight w:val="none"/>
          <w:lang w:eastAsia="zh-CN"/>
        </w:rPr>
        <w:t>，</w:t>
      </w:r>
      <w:r>
        <w:rPr>
          <w:rFonts w:hint="eastAsia" w:ascii="宋体" w:hAnsi="宋体" w:cs="宋体"/>
          <w:color w:val="auto"/>
          <w:szCs w:val="21"/>
          <w:highlight w:val="none"/>
        </w:rPr>
        <w:t>组价后按</w:t>
      </w:r>
      <w:r>
        <w:rPr>
          <w:rFonts w:hint="eastAsia" w:ascii="宋体" w:hAnsi="宋体" w:cs="宋体"/>
          <w:color w:val="auto"/>
          <w:szCs w:val="21"/>
          <w:highlight w:val="none"/>
          <w:lang w:eastAsia="zh-CN"/>
        </w:rPr>
        <w:t>中标价除以招标控制价同比例</w:t>
      </w:r>
      <w:r>
        <w:rPr>
          <w:rFonts w:hint="eastAsia" w:ascii="宋体" w:hAnsi="宋体" w:cs="宋体"/>
          <w:color w:val="auto"/>
          <w:szCs w:val="21"/>
          <w:highlight w:val="none"/>
        </w:rPr>
        <w:t>下浮</w:t>
      </w:r>
      <w:r>
        <w:rPr>
          <w:rFonts w:hint="eastAsia" w:ascii="宋体" w:hAnsi="宋体" w:cs="宋体"/>
          <w:color w:val="auto"/>
          <w:szCs w:val="21"/>
          <w:highlight w:val="none"/>
          <w:lang w:eastAsia="zh-CN"/>
        </w:rPr>
        <w:t>后单独</w:t>
      </w:r>
      <w:r>
        <w:rPr>
          <w:rFonts w:hint="eastAsia" w:ascii="宋体" w:hAnsi="宋体" w:cs="宋体"/>
          <w:color w:val="auto"/>
          <w:szCs w:val="21"/>
          <w:highlight w:val="none"/>
        </w:rPr>
        <w:t>结算</w:t>
      </w:r>
      <w:r>
        <w:rPr>
          <w:rFonts w:hint="eastAsia" w:ascii="宋体" w:hAnsi="宋体" w:cs="宋体"/>
          <w:caps/>
          <w:color w:val="auto"/>
          <w:kern w:val="0"/>
          <w:szCs w:val="21"/>
          <w:highlight w:val="none"/>
        </w:rPr>
        <w:t>（按实计算费用、</w:t>
      </w:r>
      <w:r>
        <w:rPr>
          <w:rFonts w:hint="eastAsia" w:ascii="宋体" w:hAnsi="宋体" w:cs="宋体"/>
          <w:color w:val="auto"/>
          <w:szCs w:val="21"/>
          <w:highlight w:val="none"/>
        </w:rPr>
        <w:t>未计价材料</w:t>
      </w:r>
      <w:r>
        <w:rPr>
          <w:rFonts w:hint="eastAsia" w:ascii="宋体" w:hAnsi="宋体" w:cs="宋体"/>
          <w:color w:val="auto"/>
          <w:szCs w:val="21"/>
          <w:highlight w:val="none"/>
          <w:lang w:eastAsia="zh-CN"/>
        </w:rPr>
        <w:t>、</w:t>
      </w:r>
      <w:r>
        <w:rPr>
          <w:rFonts w:hint="eastAsia" w:ascii="宋体" w:hAnsi="宋体" w:cs="宋体"/>
          <w:caps/>
          <w:color w:val="auto"/>
          <w:kern w:val="0"/>
          <w:szCs w:val="21"/>
          <w:highlight w:val="none"/>
        </w:rPr>
        <w:t>核价材料、材料价差、人工价差、安全文明施工费、规费、税金不下浮）</w:t>
      </w:r>
      <w:r>
        <w:rPr>
          <w:rFonts w:hint="eastAsia" w:ascii="宋体" w:hAnsi="宋体" w:cs="宋体"/>
          <w:caps/>
          <w:color w:val="auto"/>
          <w:kern w:val="0"/>
          <w:szCs w:val="21"/>
          <w:highlight w:val="none"/>
          <w:lang w:eastAsia="zh-CN"/>
        </w:rPr>
        <w:t>。</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④变更工程量按《房屋建筑与装饰工程工程量计算规范》（GB50854-2013）、《通用安装工程工程量计算规范》（GB50856-2013）、《重庆市建设工程工程量计算规则》（CQJLGZ-2013）的规定的计量规则计算。（渝建发[2014]25号）和 《重庆市建设工程费用定额》（CQFYDE-2018）规定进行结算，安全文明施工综合评定结果为不合格，则不计取。</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4、其他项目清单结算原则：</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本工程采用暂列金额比选的，结算时按设计变更结算原则执行。</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5、安全文明施工费：按《关于印发&lt;重庆市建设工程安全文明施工费计取及使用管理规定&gt;的通知》</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6、规费：按照竞选文件中的</w:t>
      </w:r>
      <w:r>
        <w:rPr>
          <w:rFonts w:ascii="宋体" w:hAnsi="宋体" w:cs="宋体"/>
          <w:color w:val="auto"/>
          <w:szCs w:val="21"/>
          <w:highlight w:val="none"/>
        </w:rPr>
        <w:t>费率</w:t>
      </w:r>
      <w:r>
        <w:rPr>
          <w:rFonts w:hint="eastAsia" w:ascii="宋体" w:hAnsi="宋体" w:cs="宋体"/>
          <w:color w:val="auto"/>
          <w:szCs w:val="21"/>
          <w:highlight w:val="none"/>
        </w:rPr>
        <w:t>结算，但</w:t>
      </w:r>
      <w:r>
        <w:rPr>
          <w:rFonts w:ascii="宋体" w:hAnsi="宋体" w:cs="宋体"/>
          <w:color w:val="auto"/>
          <w:szCs w:val="21"/>
          <w:highlight w:val="none"/>
        </w:rPr>
        <w:t>若</w:t>
      </w:r>
      <w:r>
        <w:rPr>
          <w:rFonts w:hint="eastAsia" w:ascii="宋体" w:hAnsi="宋体" w:cs="宋体"/>
          <w:color w:val="auto"/>
          <w:szCs w:val="21"/>
          <w:highlight w:val="none"/>
        </w:rPr>
        <w:t>竞选文件中</w:t>
      </w:r>
      <w:r>
        <w:rPr>
          <w:rFonts w:ascii="宋体" w:hAnsi="宋体" w:cs="宋体"/>
          <w:color w:val="auto"/>
          <w:szCs w:val="21"/>
          <w:highlight w:val="none"/>
        </w:rPr>
        <w:t>的费率高于</w:t>
      </w:r>
      <w:r>
        <w:rPr>
          <w:rFonts w:hint="eastAsia" w:ascii="宋体" w:hAnsi="宋体" w:cs="宋体"/>
          <w:color w:val="auto"/>
          <w:szCs w:val="21"/>
          <w:highlight w:val="none"/>
        </w:rPr>
        <w:t>《重庆市建设工程费用定额》（CQFYDE-2018）的规定费率，</w:t>
      </w:r>
      <w:r>
        <w:rPr>
          <w:rFonts w:ascii="宋体" w:hAnsi="宋体" w:cs="宋体"/>
          <w:color w:val="auto"/>
          <w:szCs w:val="21"/>
          <w:highlight w:val="none"/>
        </w:rPr>
        <w:t>则按规定费率</w:t>
      </w:r>
      <w:r>
        <w:rPr>
          <w:rFonts w:hint="eastAsia" w:ascii="宋体" w:hAnsi="宋体" w:cs="宋体"/>
          <w:color w:val="auto"/>
          <w:szCs w:val="21"/>
          <w:highlight w:val="none"/>
        </w:rPr>
        <w:t>结算。</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7、税金：按照《重庆市建设工程费用定额》（CQFYDE-2018）、渝建[2018]195号以及《重庆市住房和城乡建设委员会关于适用增值税新税率调整建设工程计价依据的通知》渝建〔2019〕143号规定费率执行。</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8、合同约定费用：</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1）发包人要求承包人完成合同以外施工范围内或施工范围外但与本施工项目密切关系的零星项目，承包人应接受发包人施工要求。若发包人委托的施工项目属应急抢险项目，应按发包人要求先行施工，同时编制预算呈报发包人，发包人进行审核。如未经发包人同意，承包人擅自施工后发生争议，由承包人自行负责。</w:t>
      </w:r>
    </w:p>
    <w:p>
      <w:pPr>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（2）合同其他条款约定的其他费用。</w:t>
      </w:r>
    </w:p>
    <w:p>
      <w:pPr>
        <w:pStyle w:val="4"/>
        <w:spacing w:before="0" w:line="400" w:lineRule="exact"/>
        <w:rPr>
          <w:rFonts w:ascii="宋体" w:hAnsi="宋体" w:cs="宋体"/>
          <w:color w:val="auto"/>
          <w:sz w:val="21"/>
          <w:szCs w:val="21"/>
          <w:highlight w:val="none"/>
        </w:rPr>
      </w:pPr>
      <w:r>
        <w:rPr>
          <w:rFonts w:hint="eastAsia" w:ascii="宋体" w:hAnsi="宋体" w:cs="宋体"/>
          <w:color w:val="auto"/>
          <w:sz w:val="21"/>
          <w:szCs w:val="21"/>
          <w:highlight w:val="none"/>
        </w:rPr>
        <w:t>18.竣工验收</w:t>
      </w:r>
      <w:bookmarkEnd w:id="815"/>
      <w:bookmarkEnd w:id="816"/>
      <w:bookmarkEnd w:id="817"/>
      <w:bookmarkEnd w:id="818"/>
      <w:bookmarkEnd w:id="819"/>
      <w:bookmarkEnd w:id="820"/>
      <w:bookmarkEnd w:id="821"/>
    </w:p>
    <w:p>
      <w:pPr>
        <w:spacing w:line="400" w:lineRule="exact"/>
        <w:ind w:firstLine="422"/>
        <w:rPr>
          <w:rFonts w:ascii="宋体" w:hAnsi="宋体" w:cs="宋体"/>
          <w:b/>
          <w:color w:val="auto"/>
          <w:highlight w:val="none"/>
        </w:rPr>
      </w:pPr>
      <w:bookmarkStart w:id="822" w:name="_Toc234293083"/>
      <w:bookmarkStart w:id="823" w:name="_Toc390350215"/>
      <w:bookmarkStart w:id="824" w:name="_Toc338361120"/>
      <w:bookmarkStart w:id="825" w:name="_Toc280257161"/>
      <w:bookmarkStart w:id="826" w:name="_Toc436898925"/>
      <w:bookmarkStart w:id="827" w:name="_Toc299705258"/>
      <w:bookmarkStart w:id="828" w:name="_Toc280258568"/>
      <w:r>
        <w:rPr>
          <w:rFonts w:hint="eastAsia" w:ascii="宋体" w:hAnsi="宋体" w:cs="宋体"/>
          <w:b/>
          <w:color w:val="auto"/>
          <w:highlight w:val="none"/>
        </w:rPr>
        <w:t>18.2  竣工验收申请报告</w:t>
      </w:r>
      <w:bookmarkEnd w:id="822"/>
      <w:bookmarkEnd w:id="823"/>
      <w:bookmarkEnd w:id="824"/>
      <w:bookmarkEnd w:id="825"/>
      <w:bookmarkEnd w:id="826"/>
      <w:bookmarkEnd w:id="827"/>
      <w:bookmarkEnd w:id="828"/>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竣工资料内容：</w:t>
      </w:r>
      <w:r>
        <w:rPr>
          <w:rFonts w:hint="eastAsia" w:ascii="宋体" w:hAnsi="宋体" w:cs="宋体"/>
          <w:color w:val="auto"/>
          <w:szCs w:val="21"/>
          <w:highlight w:val="none"/>
          <w:u w:val="single"/>
        </w:rPr>
        <w:t>竣工图和工程竣工技术档案</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竣工资料份数：</w:t>
      </w:r>
      <w:r>
        <w:rPr>
          <w:rFonts w:hint="eastAsia" w:ascii="宋体" w:hAnsi="宋体" w:cs="宋体"/>
          <w:color w:val="auto"/>
          <w:szCs w:val="21"/>
          <w:highlight w:val="none"/>
          <w:u w:val="single"/>
        </w:rPr>
        <w:t>竣工验收后承包人向发包人提交验收合格的完整的竣工图和工程竣工技术档案资料一式四份(另含电子文档贰份)。</w:t>
      </w:r>
    </w:p>
    <w:p>
      <w:pPr>
        <w:spacing w:line="400" w:lineRule="exact"/>
        <w:ind w:firstLine="422"/>
        <w:rPr>
          <w:rFonts w:ascii="宋体" w:hAnsi="宋体" w:cs="宋体"/>
          <w:b/>
          <w:color w:val="auto"/>
          <w:highlight w:val="none"/>
        </w:rPr>
      </w:pPr>
      <w:bookmarkStart w:id="829" w:name="_Toc436898926"/>
      <w:bookmarkStart w:id="830" w:name="_Toc299705259"/>
      <w:bookmarkStart w:id="831" w:name="_Toc390350216"/>
      <w:bookmarkStart w:id="832" w:name="_Toc280258569"/>
      <w:bookmarkStart w:id="833" w:name="_Toc338361121"/>
      <w:bookmarkStart w:id="834" w:name="_Toc280257162"/>
      <w:bookmarkStart w:id="835" w:name="_Toc234293084"/>
      <w:r>
        <w:rPr>
          <w:rFonts w:hint="eastAsia" w:ascii="宋体" w:hAnsi="宋体" w:cs="宋体"/>
          <w:b/>
          <w:color w:val="auto"/>
          <w:highlight w:val="none"/>
        </w:rPr>
        <w:t>18.3  验收</w:t>
      </w:r>
      <w:bookmarkEnd w:id="829"/>
      <w:bookmarkEnd w:id="830"/>
      <w:bookmarkEnd w:id="831"/>
      <w:bookmarkEnd w:id="832"/>
      <w:bookmarkEnd w:id="833"/>
      <w:bookmarkEnd w:id="834"/>
      <w:bookmarkEnd w:id="835"/>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18.3.5  实际竣工日期</w:t>
      </w:r>
      <w:r>
        <w:rPr>
          <w:rFonts w:hint="eastAsia" w:ascii="宋体" w:hAnsi="宋体" w:cs="宋体"/>
          <w:color w:val="auto"/>
          <w:szCs w:val="21"/>
          <w:highlight w:val="none"/>
          <w:u w:val="single"/>
        </w:rPr>
        <w:t>：经验收合格工程的实际竣工日期以预验收合格之日为准。</w:t>
      </w:r>
    </w:p>
    <w:p>
      <w:pPr>
        <w:spacing w:line="400" w:lineRule="exact"/>
        <w:ind w:firstLine="422"/>
        <w:rPr>
          <w:rFonts w:ascii="宋体" w:hAnsi="宋体" w:cs="宋体"/>
          <w:b/>
          <w:color w:val="auto"/>
          <w:highlight w:val="none"/>
        </w:rPr>
      </w:pPr>
      <w:bookmarkStart w:id="836" w:name="_Toc436898927"/>
      <w:bookmarkStart w:id="837" w:name="_Toc234293087"/>
      <w:bookmarkStart w:id="838" w:name="_Toc299705262"/>
      <w:bookmarkStart w:id="839" w:name="_Toc390350217"/>
      <w:bookmarkStart w:id="840" w:name="_Toc338361124"/>
      <w:bookmarkStart w:id="841" w:name="_Toc280257165"/>
      <w:bookmarkStart w:id="842" w:name="_Toc280258572"/>
      <w:r>
        <w:rPr>
          <w:rFonts w:hint="eastAsia" w:ascii="宋体" w:hAnsi="宋体" w:cs="宋体"/>
          <w:b/>
          <w:color w:val="auto"/>
          <w:highlight w:val="none"/>
        </w:rPr>
        <w:t>18.4  竣工清场</w:t>
      </w:r>
      <w:bookmarkEnd w:id="836"/>
      <w:bookmarkEnd w:id="837"/>
      <w:bookmarkEnd w:id="838"/>
      <w:bookmarkEnd w:id="839"/>
      <w:bookmarkEnd w:id="840"/>
      <w:bookmarkEnd w:id="841"/>
      <w:bookmarkEnd w:id="842"/>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18.4.1  竣工清场：</w:t>
      </w:r>
      <w:r>
        <w:rPr>
          <w:rFonts w:hint="eastAsia" w:ascii="宋体" w:hAnsi="宋体" w:cs="宋体"/>
          <w:color w:val="auto"/>
          <w:szCs w:val="21"/>
          <w:highlight w:val="none"/>
          <w:u w:val="single"/>
        </w:rPr>
        <w:t>按通用条款执行。</w:t>
      </w:r>
    </w:p>
    <w:p>
      <w:pPr>
        <w:pStyle w:val="4"/>
        <w:spacing w:before="0" w:line="400" w:lineRule="exact"/>
        <w:rPr>
          <w:rFonts w:ascii="宋体" w:hAnsi="宋体" w:cs="宋体"/>
          <w:color w:val="auto"/>
          <w:sz w:val="21"/>
          <w:szCs w:val="21"/>
          <w:highlight w:val="none"/>
        </w:rPr>
      </w:pPr>
      <w:bookmarkStart w:id="843" w:name="_Toc299705263"/>
      <w:bookmarkStart w:id="844" w:name="_Toc280257166"/>
      <w:bookmarkStart w:id="845" w:name="_Toc338361125"/>
      <w:bookmarkStart w:id="846" w:name="_Toc436898928"/>
      <w:bookmarkStart w:id="847" w:name="_Toc234293088"/>
      <w:bookmarkStart w:id="848" w:name="_Toc280258573"/>
      <w:bookmarkStart w:id="849" w:name="_Toc3183"/>
      <w:r>
        <w:rPr>
          <w:rFonts w:hint="eastAsia" w:ascii="宋体" w:hAnsi="宋体" w:cs="宋体"/>
          <w:color w:val="auto"/>
          <w:sz w:val="21"/>
          <w:szCs w:val="21"/>
          <w:highlight w:val="none"/>
        </w:rPr>
        <w:t>19.  缺陷责任与保修责任</w:t>
      </w:r>
      <w:bookmarkEnd w:id="843"/>
      <w:bookmarkEnd w:id="844"/>
      <w:bookmarkEnd w:id="845"/>
      <w:bookmarkEnd w:id="846"/>
      <w:bookmarkEnd w:id="847"/>
      <w:bookmarkEnd w:id="848"/>
      <w:bookmarkEnd w:id="849"/>
    </w:p>
    <w:p>
      <w:pPr>
        <w:spacing w:line="400" w:lineRule="exact"/>
        <w:ind w:firstLine="422"/>
        <w:rPr>
          <w:rFonts w:ascii="宋体" w:hAnsi="宋体" w:cs="宋体"/>
          <w:b/>
          <w:color w:val="auto"/>
          <w:highlight w:val="none"/>
        </w:rPr>
      </w:pPr>
      <w:bookmarkStart w:id="850" w:name="_Toc280258574"/>
      <w:bookmarkStart w:id="851" w:name="_Toc338361126"/>
      <w:bookmarkStart w:id="852" w:name="_Toc234293089"/>
      <w:bookmarkStart w:id="853" w:name="_Toc436898929"/>
      <w:bookmarkStart w:id="854" w:name="_Toc299705264"/>
      <w:bookmarkStart w:id="855" w:name="_Toc390350219"/>
      <w:bookmarkStart w:id="856" w:name="_Toc280257167"/>
      <w:r>
        <w:rPr>
          <w:rFonts w:hint="eastAsia" w:ascii="宋体" w:hAnsi="宋体" w:cs="宋体"/>
          <w:b/>
          <w:color w:val="auto"/>
          <w:highlight w:val="none"/>
        </w:rPr>
        <w:t>19.7  保修责任</w:t>
      </w:r>
      <w:bookmarkEnd w:id="850"/>
      <w:bookmarkEnd w:id="851"/>
      <w:bookmarkEnd w:id="852"/>
      <w:bookmarkEnd w:id="853"/>
      <w:bookmarkEnd w:id="854"/>
      <w:bookmarkEnd w:id="855"/>
      <w:bookmarkEnd w:id="856"/>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工程质量保修范围、期限和责任：</w:t>
      </w:r>
      <w:r>
        <w:rPr>
          <w:rFonts w:hint="eastAsia" w:ascii="宋体" w:hAnsi="宋体" w:cs="宋体"/>
          <w:color w:val="auto"/>
          <w:szCs w:val="21"/>
          <w:highlight w:val="none"/>
          <w:u w:val="single"/>
        </w:rPr>
        <w:t>以工程质量保修书为准</w:t>
      </w:r>
    </w:p>
    <w:p>
      <w:pPr>
        <w:pStyle w:val="4"/>
        <w:spacing w:before="0" w:line="400" w:lineRule="exact"/>
        <w:rPr>
          <w:rFonts w:ascii="宋体" w:hAnsi="宋体" w:cs="宋体"/>
          <w:color w:val="auto"/>
          <w:sz w:val="21"/>
          <w:szCs w:val="21"/>
          <w:highlight w:val="none"/>
        </w:rPr>
      </w:pPr>
      <w:bookmarkStart w:id="857" w:name="_Toc280258575"/>
      <w:bookmarkStart w:id="858" w:name="_Toc280257168"/>
      <w:bookmarkStart w:id="859" w:name="_Toc299705265"/>
      <w:bookmarkStart w:id="860" w:name="_Toc338361127"/>
      <w:bookmarkStart w:id="861" w:name="_Toc436898930"/>
      <w:bookmarkStart w:id="862" w:name="_Toc18474"/>
      <w:bookmarkStart w:id="863" w:name="_Toc234293090"/>
      <w:r>
        <w:rPr>
          <w:rFonts w:hint="eastAsia" w:ascii="宋体" w:hAnsi="宋体" w:cs="宋体"/>
          <w:color w:val="auto"/>
          <w:sz w:val="21"/>
          <w:szCs w:val="21"/>
          <w:highlight w:val="none"/>
        </w:rPr>
        <w:t>20.  保险</w:t>
      </w:r>
      <w:bookmarkEnd w:id="857"/>
      <w:bookmarkEnd w:id="858"/>
      <w:bookmarkEnd w:id="859"/>
      <w:bookmarkEnd w:id="860"/>
      <w:bookmarkEnd w:id="861"/>
      <w:bookmarkEnd w:id="862"/>
      <w:bookmarkEnd w:id="863"/>
    </w:p>
    <w:p>
      <w:pPr>
        <w:spacing w:line="400" w:lineRule="exact"/>
        <w:ind w:firstLine="422"/>
        <w:rPr>
          <w:rFonts w:ascii="宋体" w:hAnsi="宋体" w:cs="宋体"/>
          <w:b/>
          <w:color w:val="auto"/>
          <w:highlight w:val="none"/>
        </w:rPr>
      </w:pPr>
      <w:bookmarkStart w:id="864" w:name="_Toc280258576"/>
      <w:bookmarkStart w:id="865" w:name="_Toc280257169"/>
      <w:bookmarkStart w:id="866" w:name="_Toc299705266"/>
      <w:bookmarkStart w:id="867" w:name="_Toc338361128"/>
      <w:bookmarkStart w:id="868" w:name="_Toc234293091"/>
      <w:bookmarkStart w:id="869" w:name="_Toc436898931"/>
      <w:bookmarkStart w:id="870" w:name="_Toc390350221"/>
      <w:r>
        <w:rPr>
          <w:rFonts w:hint="eastAsia" w:ascii="宋体" w:hAnsi="宋体" w:cs="宋体"/>
          <w:b/>
          <w:color w:val="auto"/>
          <w:highlight w:val="none"/>
        </w:rPr>
        <w:t>20.1  工程保险</w:t>
      </w:r>
      <w:bookmarkEnd w:id="864"/>
      <w:bookmarkEnd w:id="865"/>
      <w:bookmarkEnd w:id="866"/>
      <w:bookmarkEnd w:id="867"/>
      <w:bookmarkEnd w:id="868"/>
      <w:r>
        <w:rPr>
          <w:rFonts w:hint="eastAsia" w:ascii="宋体" w:hAnsi="宋体" w:cs="宋体"/>
          <w:b/>
          <w:color w:val="auto"/>
          <w:highlight w:val="none"/>
        </w:rPr>
        <w:t>：</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按通用条款、比选文件执行</w:t>
      </w:r>
      <w:bookmarkEnd w:id="869"/>
      <w:bookmarkEnd w:id="870"/>
    </w:p>
    <w:p>
      <w:pPr>
        <w:spacing w:line="400" w:lineRule="exact"/>
        <w:ind w:firstLine="422"/>
        <w:rPr>
          <w:rFonts w:ascii="宋体" w:hAnsi="宋体" w:cs="宋体"/>
          <w:b/>
          <w:color w:val="auto"/>
          <w:highlight w:val="none"/>
        </w:rPr>
      </w:pPr>
      <w:bookmarkStart w:id="871" w:name="_Toc299705267"/>
      <w:bookmarkStart w:id="872" w:name="_Toc234293092"/>
      <w:bookmarkStart w:id="873" w:name="_Toc280257170"/>
      <w:bookmarkStart w:id="874" w:name="_Toc338361129"/>
      <w:bookmarkStart w:id="875" w:name="_Toc280258577"/>
      <w:bookmarkStart w:id="876" w:name="_Toc436898932"/>
      <w:bookmarkStart w:id="877" w:name="_Toc390350222"/>
      <w:r>
        <w:rPr>
          <w:rFonts w:hint="eastAsia" w:ascii="宋体" w:hAnsi="宋体" w:cs="宋体"/>
          <w:b/>
          <w:color w:val="auto"/>
          <w:highlight w:val="none"/>
        </w:rPr>
        <w:t>20.4  第三者责任险</w:t>
      </w:r>
      <w:bookmarkEnd w:id="871"/>
      <w:bookmarkEnd w:id="872"/>
      <w:bookmarkEnd w:id="873"/>
      <w:bookmarkEnd w:id="874"/>
      <w:bookmarkEnd w:id="875"/>
      <w:r>
        <w:rPr>
          <w:rFonts w:hint="eastAsia" w:ascii="宋体" w:hAnsi="宋体" w:cs="宋体"/>
          <w:b/>
          <w:color w:val="auto"/>
          <w:highlight w:val="none"/>
        </w:rPr>
        <w:t>：</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按通用条款、比选文件执行，承包人自行办理。</w:t>
      </w:r>
      <w:bookmarkEnd w:id="876"/>
      <w:bookmarkEnd w:id="877"/>
    </w:p>
    <w:p>
      <w:pPr>
        <w:spacing w:line="400" w:lineRule="exact"/>
        <w:ind w:firstLine="422"/>
        <w:rPr>
          <w:rFonts w:ascii="宋体" w:hAnsi="宋体" w:cs="宋体"/>
          <w:b/>
          <w:color w:val="auto"/>
          <w:highlight w:val="none"/>
        </w:rPr>
      </w:pPr>
      <w:bookmarkStart w:id="878" w:name="_Toc234293093"/>
      <w:bookmarkStart w:id="879" w:name="_Toc280257171"/>
      <w:bookmarkStart w:id="880" w:name="_Toc338361130"/>
      <w:bookmarkStart w:id="881" w:name="_Toc299705268"/>
      <w:bookmarkStart w:id="882" w:name="_Toc280258578"/>
      <w:bookmarkStart w:id="883" w:name="_Toc390350223"/>
      <w:bookmarkStart w:id="884" w:name="_Toc436898933"/>
      <w:r>
        <w:rPr>
          <w:rFonts w:hint="eastAsia" w:ascii="宋体" w:hAnsi="宋体" w:cs="宋体"/>
          <w:b/>
          <w:color w:val="auto"/>
          <w:highlight w:val="none"/>
        </w:rPr>
        <w:t>20.5  其他保险</w:t>
      </w:r>
      <w:bookmarkEnd w:id="878"/>
      <w:bookmarkEnd w:id="879"/>
      <w:bookmarkEnd w:id="880"/>
      <w:bookmarkEnd w:id="881"/>
      <w:bookmarkEnd w:id="882"/>
      <w:r>
        <w:rPr>
          <w:rFonts w:hint="eastAsia" w:ascii="宋体" w:hAnsi="宋体" w:cs="宋体"/>
          <w:b/>
          <w:color w:val="auto"/>
          <w:highlight w:val="none"/>
        </w:rPr>
        <w:t>：</w:t>
      </w:r>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u w:val="single"/>
        </w:rPr>
        <w:t>按通用条款执行，承包人自行办理。</w:t>
      </w:r>
      <w:bookmarkEnd w:id="883"/>
      <w:bookmarkEnd w:id="884"/>
    </w:p>
    <w:p>
      <w:pPr>
        <w:pStyle w:val="4"/>
        <w:spacing w:before="0" w:line="400" w:lineRule="exact"/>
        <w:rPr>
          <w:rFonts w:ascii="宋体" w:hAnsi="宋体" w:cs="宋体"/>
          <w:color w:val="auto"/>
          <w:sz w:val="21"/>
          <w:szCs w:val="21"/>
          <w:highlight w:val="none"/>
        </w:rPr>
      </w:pPr>
      <w:bookmarkStart w:id="885" w:name="_Toc338361132"/>
      <w:bookmarkStart w:id="886" w:name="_Toc32676"/>
      <w:bookmarkStart w:id="887" w:name="_Toc436898934"/>
      <w:bookmarkStart w:id="888" w:name="_Toc299705270"/>
      <w:bookmarkStart w:id="889" w:name="_Toc280258580"/>
      <w:bookmarkStart w:id="890" w:name="_Toc234293095"/>
      <w:bookmarkStart w:id="891" w:name="_Toc280257173"/>
      <w:r>
        <w:rPr>
          <w:rFonts w:hint="eastAsia" w:ascii="宋体" w:hAnsi="宋体" w:cs="宋体"/>
          <w:color w:val="auto"/>
          <w:sz w:val="21"/>
          <w:szCs w:val="21"/>
          <w:highlight w:val="none"/>
        </w:rPr>
        <w:t>21.  不可抗力</w:t>
      </w:r>
      <w:bookmarkEnd w:id="885"/>
      <w:bookmarkEnd w:id="886"/>
      <w:bookmarkEnd w:id="887"/>
      <w:bookmarkEnd w:id="888"/>
      <w:bookmarkEnd w:id="889"/>
      <w:bookmarkEnd w:id="890"/>
      <w:bookmarkEnd w:id="891"/>
    </w:p>
    <w:p>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不可抗力导致的人员伤亡、财产损失、费用增加和(或)工期延误由合同双方按以下方法承担：</w:t>
      </w:r>
      <w:r>
        <w:rPr>
          <w:rFonts w:hint="eastAsia" w:ascii="宋体" w:hAnsi="宋体" w:cs="宋体"/>
          <w:color w:val="auto"/>
          <w:szCs w:val="21"/>
          <w:highlight w:val="none"/>
          <w:u w:val="single"/>
        </w:rPr>
        <w:t>按通用条款执行。</w:t>
      </w:r>
    </w:p>
    <w:p>
      <w:pPr>
        <w:spacing w:line="400" w:lineRule="exact"/>
        <w:ind w:firstLine="422"/>
        <w:rPr>
          <w:rFonts w:ascii="宋体" w:hAnsi="宋体" w:cs="宋体"/>
          <w:b/>
          <w:snapToGrid w:val="0"/>
          <w:color w:val="auto"/>
          <w:szCs w:val="21"/>
          <w:highlight w:val="none"/>
        </w:rPr>
      </w:pPr>
      <w:r>
        <w:rPr>
          <w:rFonts w:hint="eastAsia" w:ascii="宋体" w:hAnsi="宋体" w:cs="宋体"/>
          <w:b/>
          <w:snapToGrid w:val="0"/>
          <w:color w:val="auto"/>
          <w:szCs w:val="21"/>
          <w:highlight w:val="none"/>
        </w:rPr>
        <w:t>22．补充条款</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1）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（2）承包人发包人提供的所有工程资料和数据必须真实可靠。经检查发现承包人有弄虚作假的，每发现一次，发包人有权对承包人处以</w:t>
      </w:r>
      <w:r>
        <w:rPr>
          <w:rFonts w:hint="eastAsia" w:ascii="宋体" w:hAnsi="宋体" w:cs="宋体"/>
          <w:color w:val="auto"/>
          <w:szCs w:val="21"/>
          <w:highlight w:val="none"/>
        </w:rPr>
        <w:t>10000</w:t>
      </w:r>
      <w:r>
        <w:rPr>
          <w:rFonts w:hint="eastAsia" w:ascii="宋体" w:hAnsi="宋体" w:cs="宋体"/>
          <w:color w:val="auto"/>
          <w:szCs w:val="21"/>
          <w:highlight w:val="none"/>
          <w:lang w:val="zh-CN"/>
        </w:rPr>
        <w:t>元违约金，且发包人有权对承包方的项目责任人的处以</w:t>
      </w:r>
      <w:r>
        <w:rPr>
          <w:rFonts w:hint="eastAsia" w:ascii="宋体" w:hAnsi="宋体" w:cs="宋体"/>
          <w:color w:val="auto"/>
          <w:szCs w:val="21"/>
          <w:highlight w:val="none"/>
        </w:rPr>
        <w:t>10000</w:t>
      </w:r>
      <w:r>
        <w:rPr>
          <w:rFonts w:hint="eastAsia" w:ascii="宋体" w:hAnsi="宋体" w:cs="宋体"/>
          <w:color w:val="auto"/>
          <w:szCs w:val="21"/>
          <w:highlight w:val="none"/>
          <w:lang w:val="zh-CN"/>
        </w:rPr>
        <w:t>元的违约金。</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（3）承包人在工程收方中采用欺骗手段或弄虚作假的，每发现一次，发包人有权对承包人处以</w:t>
      </w:r>
      <w:r>
        <w:rPr>
          <w:rFonts w:hint="eastAsia" w:ascii="宋体" w:hAnsi="宋体" w:cs="宋体"/>
          <w:color w:val="auto"/>
          <w:szCs w:val="21"/>
          <w:highlight w:val="none"/>
        </w:rPr>
        <w:t>10000</w:t>
      </w:r>
      <w:r>
        <w:rPr>
          <w:rFonts w:hint="eastAsia" w:ascii="宋体" w:hAnsi="宋体" w:cs="宋体"/>
          <w:color w:val="auto"/>
          <w:szCs w:val="21"/>
          <w:highlight w:val="none"/>
          <w:lang w:val="zh-CN"/>
        </w:rPr>
        <w:t>元的违约金。</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4）承包人将本工程转包；或同意第三者挂靠承揽本工程；或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5）承包人应严格遵守通用合同条款第4.8.1的约定，不能因为任何原因拖欠农民工工资，由此引发的任何责任由承包人全部承担；如果出现承包人拖欠农民工工资行为，发包人有权从承包人工程款中扣减直接支付给农民工，并有权对承包人处以签约合同价1‰的违约金。</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6）在施工过程中因承包人自身原因停工10日以上，视为承包人不履行合同，发包人有权单方解除合同，承包人在接到发包人通知后3日内自行清退出场，履约保证金不予退还，按所完成的合格的工程量发包人有权单方确定按</w:t>
      </w:r>
      <w:r>
        <w:rPr>
          <w:rFonts w:hint="eastAsia" w:ascii="宋体" w:hAnsi="宋体" w:cs="宋体"/>
          <w:color w:val="auto"/>
          <w:szCs w:val="21"/>
          <w:highlight w:val="none"/>
        </w:rPr>
        <w:t xml:space="preserve">70% </w:t>
      </w:r>
      <w:r>
        <w:rPr>
          <w:rFonts w:hint="eastAsia" w:ascii="宋体" w:hAnsi="宋体" w:cs="宋体"/>
          <w:color w:val="auto"/>
          <w:szCs w:val="21"/>
          <w:highlight w:val="none"/>
          <w:lang w:val="zh-CN"/>
        </w:rPr>
        <w:t>计取。</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（7）签订合同后，为保证工程在合同工期内完成，若因承包人不服从发包人对质量、安全、工期等管理，发包人有权在履约金中扣除相应金额作为违约金，每次按</w:t>
      </w:r>
      <w:r>
        <w:rPr>
          <w:rFonts w:hint="eastAsia" w:ascii="宋体" w:hAnsi="宋体" w:cs="宋体"/>
          <w:color w:val="auto"/>
          <w:szCs w:val="21"/>
          <w:highlight w:val="none"/>
        </w:rPr>
        <w:t>10</w:t>
      </w:r>
      <w:r>
        <w:rPr>
          <w:rFonts w:hint="eastAsia" w:ascii="宋体" w:hAnsi="宋体" w:cs="宋体"/>
          <w:color w:val="auto"/>
          <w:szCs w:val="21"/>
          <w:highlight w:val="none"/>
          <w:lang w:val="zh-CN"/>
        </w:rPr>
        <w:t>000元计违约金。</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8）承包人在工程开工前必须向发包人提交项目班子人员组成名单。拟在本工程中担任项目经理，必须是投标的资格审查材料中提供的项目经理，未经发包人同意承包人不得擅自更换，如有类似情况的，发包人有权终止合同，履约保证金不予退还，其他人员每更换一人处以</w:t>
      </w:r>
      <w:r>
        <w:rPr>
          <w:rFonts w:hint="eastAsia" w:ascii="宋体" w:hAnsi="宋体" w:cs="宋体"/>
          <w:color w:val="auto"/>
          <w:szCs w:val="21"/>
          <w:highlight w:val="none"/>
        </w:rPr>
        <w:t>1</w:t>
      </w:r>
      <w:r>
        <w:rPr>
          <w:rFonts w:hint="eastAsia" w:ascii="宋体" w:hAnsi="宋体" w:cs="宋体"/>
          <w:color w:val="auto"/>
          <w:szCs w:val="21"/>
          <w:highlight w:val="none"/>
          <w:lang w:val="zh-CN"/>
        </w:rPr>
        <w:t>万元的违约金，并以此类推。如有特殊情况，需报请发包人批准，方可更换。项目经理及技术负责人每次工作例会不能无故缺席，每月到现场办工时间不得少于本月施工时间的80%，若违反上述约定，处以</w:t>
      </w:r>
      <w:r>
        <w:rPr>
          <w:rFonts w:hint="eastAsia" w:ascii="宋体" w:hAnsi="宋体" w:cs="宋体"/>
          <w:color w:val="auto"/>
          <w:szCs w:val="21"/>
          <w:highlight w:val="none"/>
        </w:rPr>
        <w:t>10</w:t>
      </w:r>
      <w:r>
        <w:rPr>
          <w:rFonts w:hint="eastAsia" w:ascii="宋体" w:hAnsi="宋体" w:cs="宋体"/>
          <w:color w:val="auto"/>
          <w:szCs w:val="21"/>
          <w:highlight w:val="none"/>
          <w:lang w:val="zh-CN"/>
        </w:rPr>
        <w:t>00元/天﹒人的罚款。</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（9）现场项目部管理人员必须与投标书中拟派人员相符，若不相符，发包人有权单方解除合同。承包人的履约保证金不予退还，给发包人造成的损失超过履约保证金数额的，承包人还应对超过部分进行赔偿。</w:t>
      </w:r>
    </w:p>
    <w:p>
      <w:pPr>
        <w:spacing w:line="400" w:lineRule="exact"/>
        <w:ind w:firstLine="315" w:firstLineChars="150"/>
        <w:rPr>
          <w:rFonts w:ascii="宋体" w:hAnsi="宋体" w:cs="宋体"/>
          <w:b/>
          <w:bCs/>
          <w:color w:val="auto"/>
          <w:szCs w:val="21"/>
          <w:highlight w:val="none"/>
        </w:rPr>
      </w:pPr>
      <w:r>
        <w:rPr>
          <w:rFonts w:hint="eastAsia" w:ascii="宋体" w:hAnsi="宋体" w:cs="宋体"/>
          <w:color w:val="auto"/>
          <w:szCs w:val="21"/>
          <w:highlight w:val="none"/>
          <w:lang w:val="zh-CN"/>
        </w:rPr>
        <w:t>发包人可不经法院裁决，直接按上述条款约定的内容执行，违约金或损失在工程款或履约保证金或工程结算款中直接扣除。</w:t>
      </w:r>
    </w:p>
    <w:p>
      <w:pPr>
        <w:pStyle w:val="4"/>
        <w:spacing w:before="0" w:line="400" w:lineRule="exact"/>
        <w:ind w:firstLine="422"/>
        <w:rPr>
          <w:rFonts w:ascii="宋体" w:hAnsi="宋体" w:cs="宋体"/>
          <w:color w:val="auto"/>
          <w:sz w:val="21"/>
          <w:szCs w:val="21"/>
          <w:highlight w:val="none"/>
        </w:rPr>
      </w:pPr>
      <w:bookmarkStart w:id="892" w:name="_Toc299705273"/>
      <w:bookmarkStart w:id="893" w:name="_Toc436898935"/>
      <w:bookmarkStart w:id="894" w:name="_Toc338361135"/>
      <w:bookmarkStart w:id="895" w:name="_Toc32101"/>
      <w:r>
        <w:rPr>
          <w:rFonts w:hint="eastAsia" w:ascii="宋体" w:hAnsi="宋体" w:cs="宋体"/>
          <w:color w:val="auto"/>
          <w:sz w:val="21"/>
          <w:szCs w:val="21"/>
          <w:highlight w:val="none"/>
        </w:rPr>
        <w:t>23.  违约</w:t>
      </w:r>
      <w:bookmarkEnd w:id="892"/>
      <w:bookmarkEnd w:id="893"/>
      <w:bookmarkEnd w:id="894"/>
      <w:r>
        <w:rPr>
          <w:rFonts w:hint="eastAsia" w:ascii="宋体" w:hAnsi="宋体" w:cs="宋体"/>
          <w:color w:val="auto"/>
          <w:sz w:val="21"/>
          <w:szCs w:val="21"/>
          <w:highlight w:val="none"/>
        </w:rPr>
        <w:t>责任</w:t>
      </w:r>
      <w:bookmarkEnd w:id="895"/>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（1）承包人拒不执行发包人书面指令的，每发生一次处</w:t>
      </w:r>
      <w:r>
        <w:rPr>
          <w:rFonts w:hint="eastAsia" w:ascii="宋体" w:hAnsi="宋体" w:cs="宋体"/>
          <w:color w:val="auto"/>
          <w:szCs w:val="21"/>
          <w:highlight w:val="none"/>
        </w:rPr>
        <w:t>2000元</w:t>
      </w:r>
      <w:r>
        <w:rPr>
          <w:rFonts w:hint="eastAsia" w:ascii="宋体" w:hAnsi="宋体" w:cs="宋体"/>
          <w:color w:val="auto"/>
          <w:szCs w:val="21"/>
          <w:highlight w:val="none"/>
          <w:lang w:val="zh-CN"/>
        </w:rPr>
        <w:t>的违约金，累计达3次以上的，发包人有权单方面解除施工合同而不承担任何责任。</w:t>
      </w:r>
    </w:p>
    <w:p>
      <w:pPr>
        <w:spacing w:line="40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2）承包人负责本工程施工合同履约期间的信访维稳工作。承包人必须严格履行与材料商的购销合同和劳务公司（人员）的分包或用工合同，不得因拖欠材料款或人工费等原因，发生相关人员上访发包人或政府的情况。如有违反，经发包人核实，可以动用承包人交缴的工程保证金，直接支付；工程保证金不足以支付的，在工程进度款中扣除；不能在工程保证金或进度款中支付的，发包人可以要求承包人停工整顿，停工时间记入有效工期。每发生一次信访维稳事件，发包人按合同标的额的</w:t>
      </w:r>
      <w:r>
        <w:rPr>
          <w:rFonts w:hint="eastAsia" w:ascii="宋体" w:hAnsi="宋体" w:cs="宋体"/>
          <w:color w:val="auto"/>
          <w:szCs w:val="21"/>
          <w:highlight w:val="none"/>
        </w:rPr>
        <w:t>3</w:t>
      </w:r>
      <w:r>
        <w:rPr>
          <w:rFonts w:hint="eastAsia" w:ascii="宋体" w:hAnsi="宋体" w:cs="宋体"/>
          <w:color w:val="auto"/>
          <w:szCs w:val="21"/>
          <w:highlight w:val="none"/>
          <w:lang w:val="zh-CN"/>
        </w:rPr>
        <w:t>%处承包人违约金。</w:t>
      </w:r>
    </w:p>
    <w:p>
      <w:pPr>
        <w:spacing w:line="400" w:lineRule="exact"/>
        <w:ind w:firstLine="315" w:firstLineChars="150"/>
        <w:rPr>
          <w:rFonts w:hint="eastAsia" w:ascii="宋体" w:hAnsi="宋体" w:cs="宋体"/>
          <w:color w:val="auto"/>
          <w:szCs w:val="21"/>
          <w:highlight w:val="none"/>
          <w:lang w:val="zh-CN"/>
        </w:rPr>
      </w:pPr>
      <w:r>
        <w:rPr>
          <w:rFonts w:hint="eastAsia" w:ascii="宋体" w:hAnsi="宋体" w:cs="宋体"/>
          <w:color w:val="auto"/>
          <w:szCs w:val="21"/>
          <w:highlight w:val="none"/>
          <w:lang w:val="zh-CN"/>
        </w:rPr>
        <w:t>（3）发生3次以上信访事件或停工10日以上的，除处罚违约金外，发包人有权按照本条第2款规定解除施工合同；已竣工的，暂不办理验收；已验收的，暂不办理结算；已结算的，暂不进行评审或审计；已评审或审计的，暂不支付工程款。直至信访维稳事项处理完结。</w:t>
      </w:r>
    </w:p>
    <w:p>
      <w:pPr>
        <w:spacing w:line="400" w:lineRule="exact"/>
        <w:ind w:firstLine="315" w:firstLineChars="150"/>
        <w:rPr>
          <w:rFonts w:ascii="宋体" w:hAnsi="宋体" w:cs="宋体"/>
          <w:color w:val="auto"/>
          <w:szCs w:val="21"/>
          <w:highlight w:val="none"/>
          <w:lang w:val="zh-CN"/>
        </w:rPr>
      </w:pPr>
      <w:r>
        <w:rPr>
          <w:rFonts w:hint="eastAsia"/>
          <w:color w:val="auto"/>
          <w:highlight w:val="none"/>
          <w:lang w:val="zh-CN"/>
        </w:rPr>
        <w:t>（4）承包方在施工过程中不得擅自更换材料、设备，</w:t>
      </w:r>
      <w:r>
        <w:rPr>
          <w:rFonts w:hint="eastAsia" w:ascii="宋体" w:hAnsi="宋体" w:cs="宋体"/>
          <w:color w:val="auto"/>
          <w:szCs w:val="21"/>
          <w:highlight w:val="none"/>
          <w:lang w:val="zh-CN"/>
        </w:rPr>
        <w:t>每发生一次处</w:t>
      </w:r>
      <w:r>
        <w:rPr>
          <w:rFonts w:hint="eastAsia" w:ascii="宋体" w:hAnsi="宋体" w:cs="宋体"/>
          <w:color w:val="auto"/>
          <w:szCs w:val="21"/>
          <w:highlight w:val="none"/>
        </w:rPr>
        <w:t>该批材料、设备总价的3倍</w:t>
      </w:r>
      <w:r>
        <w:rPr>
          <w:rFonts w:hint="eastAsia" w:ascii="宋体" w:hAnsi="宋体" w:cs="宋体"/>
          <w:color w:val="auto"/>
          <w:szCs w:val="21"/>
          <w:highlight w:val="none"/>
          <w:lang w:val="zh-CN"/>
        </w:rPr>
        <w:t>违约金，累计达3次以上的，发包人有权单方面解除施工合同而不承担任何责任。</w:t>
      </w:r>
    </w:p>
    <w:p>
      <w:pPr>
        <w:tabs>
          <w:tab w:val="left" w:pos="5010"/>
        </w:tabs>
        <w:autoSpaceDE w:val="0"/>
        <w:autoSpaceDN w:val="0"/>
        <w:adjustRightInd w:val="0"/>
        <w:snapToGrid w:val="0"/>
        <w:spacing w:line="400" w:lineRule="exact"/>
        <w:ind w:firstLine="422"/>
        <w:rPr>
          <w:rFonts w:ascii="宋体" w:hAnsi="宋体" w:cs="宋体"/>
          <w:color w:val="auto"/>
          <w:szCs w:val="21"/>
          <w:highlight w:val="none"/>
          <w:u w:val="single"/>
        </w:rPr>
      </w:pPr>
      <w:r>
        <w:rPr>
          <w:rFonts w:hint="eastAsia" w:ascii="宋体" w:hAnsi="宋体" w:cs="宋体"/>
          <w:b/>
          <w:color w:val="auto"/>
          <w:szCs w:val="21"/>
          <w:highlight w:val="none"/>
        </w:rPr>
        <w:t>24.廉政责任</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承包人应严格遵守《建设工程廉政责任书》要求，不得向参见各方（甲方、设计方等）要、接受或赠送礼金、有价证券、贵重物品及回扣、好处费、感谢费等经济行为，一经查处，处承包人合同价10%，即万元/次违约金，上不封顶，并将此事件报上级主管部门备案审理。</w:t>
      </w:r>
    </w:p>
    <w:p>
      <w:pPr>
        <w:pStyle w:val="4"/>
        <w:spacing w:before="0" w:line="400" w:lineRule="exact"/>
        <w:ind w:firstLine="422"/>
        <w:rPr>
          <w:rFonts w:ascii="宋体" w:hAnsi="宋体" w:cs="宋体"/>
          <w:color w:val="auto"/>
          <w:sz w:val="21"/>
          <w:szCs w:val="21"/>
          <w:highlight w:val="none"/>
        </w:rPr>
      </w:pPr>
      <w:bookmarkStart w:id="896" w:name="_Toc436898937"/>
      <w:bookmarkStart w:id="897" w:name="_Toc338361137"/>
      <w:bookmarkStart w:id="898" w:name="_Toc11015"/>
      <w:bookmarkStart w:id="899" w:name="_Toc299705275"/>
      <w:bookmarkStart w:id="900" w:name="_Toc234293098"/>
      <w:bookmarkStart w:id="901" w:name="_Toc280258583"/>
      <w:bookmarkStart w:id="902" w:name="_Toc280257176"/>
      <w:r>
        <w:rPr>
          <w:rFonts w:hint="eastAsia" w:ascii="宋体" w:hAnsi="宋体" w:cs="宋体"/>
          <w:color w:val="auto"/>
          <w:sz w:val="21"/>
          <w:szCs w:val="21"/>
          <w:highlight w:val="none"/>
        </w:rPr>
        <w:t>25.  争议的解决</w:t>
      </w:r>
      <w:bookmarkEnd w:id="896"/>
      <w:bookmarkEnd w:id="897"/>
      <w:bookmarkEnd w:id="898"/>
      <w:bookmarkEnd w:id="899"/>
      <w:bookmarkEnd w:id="900"/>
      <w:bookmarkEnd w:id="901"/>
      <w:bookmarkEnd w:id="902"/>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争议的解决方式：本合同在履行过程中发生的争议，由双方当事人协商解决，协商不成的依法向项目所在地人民法院起诉。</w:t>
      </w:r>
    </w:p>
    <w:p>
      <w:pPr>
        <w:spacing w:line="4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26.补充条款：</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1、除通用条款约定的情况外，发生下述情况时发包人同样有权解除合同，并没收承包人的履约保证金，另行选择施工单位完成工程；</w:t>
      </w:r>
    </w:p>
    <w:p>
      <w:pPr>
        <w:spacing w:line="400" w:lineRule="exact"/>
        <w:ind w:firstLine="420" w:firstLineChars="200"/>
        <w:rPr>
          <w:rFonts w:ascii="宋体" w:hAnsi="宋体" w:cs="宋体"/>
          <w:color w:val="auto"/>
          <w:szCs w:val="21"/>
          <w:highlight w:val="none"/>
        </w:rPr>
      </w:pPr>
      <w:bookmarkStart w:id="903" w:name="_Toc361673527"/>
      <w:r>
        <w:rPr>
          <w:rFonts w:hint="eastAsia" w:ascii="宋体" w:hAnsi="宋体" w:cs="宋体"/>
          <w:color w:val="auto"/>
          <w:szCs w:val="21"/>
          <w:highlight w:val="none"/>
        </w:rPr>
        <w:t>（1）承包人破产或宣告停业清理，且此清理不是出于重组、重建或合并之目的；</w:t>
      </w:r>
      <w:bookmarkEnd w:id="903"/>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（2）放弃或否认合同；</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（3）无正当理由而未能按约定开工；</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（4）承包人的实际进度与经监理工程师确认的进度计划不符时，未按约定执行发包人发出的指示而采取必要措施加快进度；</w:t>
      </w:r>
    </w:p>
    <w:p>
      <w:pPr>
        <w:spacing w:line="400" w:lineRule="exact"/>
        <w:ind w:firstLine="420" w:firstLineChars="200"/>
        <w:rPr>
          <w:rFonts w:ascii="宋体" w:hAnsi="宋体" w:cs="宋体"/>
          <w:color w:val="auto"/>
          <w:szCs w:val="21"/>
          <w:highlight w:val="none"/>
        </w:rPr>
      </w:pPr>
      <w:bookmarkStart w:id="904" w:name="_Toc361673528"/>
      <w:r>
        <w:rPr>
          <w:rFonts w:hint="eastAsia" w:ascii="宋体" w:hAnsi="宋体" w:cs="宋体"/>
          <w:color w:val="auto"/>
          <w:szCs w:val="21"/>
          <w:highlight w:val="none"/>
        </w:rPr>
        <w:t>（5）未遵守比选申请承诺书的承诺，未能自行完成本工程的施工，分包或转让本工程；</w:t>
      </w:r>
      <w:bookmarkEnd w:id="904"/>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（6）未按发包人要求变更项目经理或主要施工管理人员；</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（7）未经发包人同意，擅自变更比选申请所拟派的项目经理或主要施工管理人员；或项目经理或主要施工管理人员驻工地时间平均一个月少于25天。</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（8）解除合同后承包人应在1月内退场。</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（9）发包人与承包人解除合同后，发包人依法确定的完成该工程的其他承包人可以随时进驻现场。</w:t>
      </w:r>
    </w:p>
    <w:p>
      <w:pPr>
        <w:spacing w:line="400" w:lineRule="exact"/>
        <w:ind w:firstLine="420" w:firstLineChars="200"/>
        <w:rPr>
          <w:rFonts w:ascii="宋体" w:hAnsi="宋体" w:cs="宋体"/>
          <w:color w:val="auto"/>
          <w:szCs w:val="21"/>
          <w:highlight w:val="none"/>
        </w:rPr>
      </w:pPr>
      <w:bookmarkStart w:id="905" w:name="_Toc361673529"/>
      <w:r>
        <w:rPr>
          <w:rFonts w:hint="eastAsia" w:ascii="宋体" w:hAnsi="宋体" w:cs="宋体"/>
          <w:color w:val="auto"/>
          <w:szCs w:val="21"/>
          <w:highlight w:val="none"/>
        </w:rPr>
        <w:t>2、农民工工资</w:t>
      </w:r>
      <w:bookmarkEnd w:id="905"/>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（1）承包人必须严格按照《劳动法》、《农民工工资支付暂行规定》和《最低工资规定》等有关规定支付农民工工资，不得拖欠或克扣。</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3、承包人若在施工期间如发包人发现承包人有挂靠、转包及违法分包工程行为，发包人有权对承包人中止合同，取消中选资格。</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5、承包人的实际工程进度及质量与经监理工程师及发包人审批的工程进度及质量要求不符时，且在限期整改中又未按发包人要求完成的，处以惩罚性违约金</w:t>
      </w:r>
      <w:r>
        <w:rPr>
          <w:rFonts w:hint="eastAsia" w:ascii="宋体" w:hAnsi="宋体" w:cs="宋体"/>
          <w:bCs/>
          <w:color w:val="auto"/>
          <w:szCs w:val="21"/>
          <w:highlight w:val="none"/>
        </w:rPr>
        <w:t>2000</w:t>
      </w:r>
      <w:r>
        <w:rPr>
          <w:rFonts w:hint="eastAsia" w:ascii="宋体" w:hAnsi="宋体" w:cs="宋体"/>
          <w:color w:val="auto"/>
          <w:szCs w:val="21"/>
          <w:highlight w:val="none"/>
        </w:rPr>
        <w:t>元/次。</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7、工程量增减：</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因发包人要求及不可抗力因素等原因导致承包人在合同履行中所需要的工程量发生增减时，承包人无权因此提出索赔。</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实物工程量的实施由发包人现场代表按合同条款规定，结合工程具体情况，报经发包人批准后全部或部分实施，或者根本不予实施，承包人无权因此提出索赔。</w:t>
      </w:r>
    </w:p>
    <w:p>
      <w:pPr>
        <w:widowControl/>
        <w:snapToGrid w:val="0"/>
        <w:spacing w:line="400" w:lineRule="exact"/>
        <w:ind w:firstLine="411" w:firstLineChars="196"/>
        <w:rPr>
          <w:rFonts w:ascii="宋体" w:hAnsi="宋体" w:cs="宋体"/>
          <w:color w:val="auto"/>
          <w:kern w:val="0"/>
          <w:szCs w:val="21"/>
          <w:highlight w:val="none"/>
        </w:rPr>
      </w:pPr>
      <w:r>
        <w:rPr>
          <w:rFonts w:hint="eastAsia" w:ascii="宋体" w:hAnsi="宋体" w:cs="宋体"/>
          <w:color w:val="auto"/>
          <w:szCs w:val="21"/>
          <w:highlight w:val="none"/>
        </w:rPr>
        <w:t>8、若</w:t>
      </w:r>
      <w:r>
        <w:rPr>
          <w:rFonts w:hint="eastAsia" w:ascii="宋体" w:hAnsi="宋体" w:cs="宋体"/>
          <w:color w:val="auto"/>
          <w:kern w:val="0"/>
          <w:szCs w:val="21"/>
          <w:highlight w:val="none"/>
        </w:rPr>
        <w:t>因暂停施工导致的施工单位二次进场费、现场清理费、现场维护费等所有费用已包含在承包人总价中，不得调整。</w:t>
      </w:r>
    </w:p>
    <w:p>
      <w:pPr>
        <w:spacing w:line="400" w:lineRule="exact"/>
        <w:ind w:firstLine="420" w:firstLineChars="200"/>
        <w:rPr>
          <w:rFonts w:ascii="宋体" w:hAnsi="宋体" w:cs="宋体"/>
          <w:color w:val="auto"/>
          <w:szCs w:val="21"/>
          <w:highlight w:val="none"/>
        </w:rPr>
      </w:pPr>
      <w:bookmarkStart w:id="906" w:name="_Toc361673531"/>
      <w:r>
        <w:rPr>
          <w:rFonts w:hint="eastAsia" w:ascii="宋体" w:hAnsi="宋体" w:cs="宋体"/>
          <w:color w:val="auto"/>
          <w:kern w:val="0"/>
          <w:szCs w:val="21"/>
          <w:highlight w:val="none"/>
        </w:rPr>
        <w:t>9、</w:t>
      </w:r>
      <w:bookmarkEnd w:id="906"/>
      <w:r>
        <w:rPr>
          <w:rFonts w:hint="eastAsia" w:ascii="宋体" w:hAnsi="宋体" w:cs="宋体"/>
          <w:color w:val="auto"/>
          <w:szCs w:val="21"/>
          <w:highlight w:val="none"/>
        </w:rPr>
        <w:t>由于承包人原因未按合同要求工期完成本工程，则承包人必须承担本工程延期完成的各项费用。</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10、其他未尽事宜，经双方协商，以书面确认为准。</w:t>
      </w:r>
    </w:p>
    <w:p>
      <w:pPr>
        <w:spacing w:line="400" w:lineRule="exact"/>
        <w:ind w:left="-315" w:leftChars="-150" w:firstLine="315" w:firstLineChars="150"/>
        <w:rPr>
          <w:rFonts w:ascii="宋体" w:hAnsi="宋体" w:cs="宋体"/>
          <w:color w:val="auto"/>
          <w:szCs w:val="21"/>
          <w:highlight w:val="none"/>
        </w:rPr>
      </w:pPr>
    </w:p>
    <w:p>
      <w:pPr>
        <w:spacing w:line="400" w:lineRule="exact"/>
        <w:ind w:left="-315" w:leftChars="-150" w:firstLine="315" w:firstLineChars="150"/>
        <w:rPr>
          <w:rFonts w:ascii="宋体" w:hAnsi="宋体" w:cs="宋体"/>
          <w:color w:val="auto"/>
          <w:szCs w:val="21"/>
          <w:highlight w:val="none"/>
        </w:rPr>
      </w:pPr>
      <w:r>
        <w:rPr>
          <w:rFonts w:hint="eastAsia" w:ascii="宋体" w:hAnsi="宋体" w:cs="宋体"/>
          <w:color w:val="auto"/>
          <w:szCs w:val="21"/>
          <w:highlight w:val="none"/>
        </w:rPr>
        <w:t>发包人（公章）                                     承包人（公章）</w:t>
      </w:r>
    </w:p>
    <w:p>
      <w:pPr>
        <w:spacing w:line="400" w:lineRule="exact"/>
        <w:ind w:left="-315" w:leftChars="-150" w:firstLine="315" w:firstLineChars="150"/>
        <w:rPr>
          <w:rFonts w:ascii="宋体" w:hAnsi="宋体" w:cs="宋体"/>
          <w:color w:val="auto"/>
          <w:szCs w:val="21"/>
          <w:highlight w:val="none"/>
        </w:rPr>
      </w:pPr>
      <w:r>
        <w:rPr>
          <w:rFonts w:hint="eastAsia" w:ascii="宋体" w:hAnsi="宋体" w:cs="宋体"/>
          <w:color w:val="auto"/>
          <w:szCs w:val="21"/>
          <w:highlight w:val="none"/>
        </w:rPr>
        <w:t>法定代表人：                                       法人代表：</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年    月    日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color w:val="auto"/>
          <w:sz w:val="32"/>
          <w:szCs w:val="32"/>
          <w:highlight w:val="none"/>
        </w:rPr>
        <w:t>附件目录：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附件1：工程质量保修书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附件2：承包人主要施工管理人员表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附件3：暂估价一览表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附件4：安全生产合同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附件5：保障农民工工资协议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附件6：技术标准和要求</w:t>
      </w:r>
    </w:p>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附件1：    </w:t>
      </w:r>
    </w:p>
    <w:p>
      <w:pPr>
        <w:spacing w:before="120" w:beforeLines="50" w:after="120" w:afterLines="50" w:line="440" w:lineRule="exact"/>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工程质量保修书</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发包人（全称）：</w:t>
      </w:r>
    </w:p>
    <w:p>
      <w:pPr>
        <w:spacing w:line="440" w:lineRule="exact"/>
        <w:rPr>
          <w:rFonts w:ascii="宋体" w:hAnsi="宋体" w:cs="宋体"/>
          <w:color w:val="auto"/>
          <w:szCs w:val="21"/>
          <w:highlight w:val="none"/>
        </w:rPr>
      </w:pPr>
      <w:r>
        <w:rPr>
          <w:rFonts w:hint="eastAsia" w:ascii="宋体" w:hAnsi="宋体" w:cs="宋体"/>
          <w:color w:val="auto"/>
          <w:szCs w:val="21"/>
          <w:highlight w:val="none"/>
        </w:rPr>
        <w:t>　　承包人（全称）：</w:t>
      </w:r>
    </w:p>
    <w:p>
      <w:pPr>
        <w:spacing w:line="440" w:lineRule="exact"/>
        <w:rPr>
          <w:rFonts w:ascii="宋体" w:hAnsi="宋体" w:cs="宋体"/>
          <w:color w:val="auto"/>
          <w:szCs w:val="21"/>
          <w:highlight w:val="none"/>
        </w:rPr>
      </w:pPr>
    </w:p>
    <w:p>
      <w:pPr>
        <w:spacing w:line="600" w:lineRule="exact"/>
        <w:rPr>
          <w:rFonts w:ascii="宋体" w:hAnsi="宋体" w:cs="宋体"/>
          <w:color w:val="auto"/>
          <w:szCs w:val="21"/>
          <w:highlight w:val="none"/>
        </w:rPr>
      </w:pPr>
      <w:r>
        <w:rPr>
          <w:rFonts w:hint="eastAsia" w:ascii="宋体" w:hAnsi="宋体" w:cs="宋体"/>
          <w:color w:val="auto"/>
          <w:szCs w:val="21"/>
          <w:highlight w:val="none"/>
        </w:rPr>
        <w:t>　　发包人和承包人根据《中华人民共和国建筑法》和《建设工程质量管理条例》，经协商一致就（工程全称）签订工程质量保修书。</w:t>
      </w:r>
    </w:p>
    <w:p>
      <w:pPr>
        <w:spacing w:line="600" w:lineRule="exact"/>
        <w:rPr>
          <w:rFonts w:ascii="宋体" w:hAnsi="宋体" w:cs="宋体"/>
          <w:color w:val="auto"/>
          <w:szCs w:val="21"/>
          <w:highlight w:val="none"/>
        </w:rPr>
      </w:pPr>
      <w:r>
        <w:rPr>
          <w:rFonts w:hint="eastAsia" w:ascii="宋体" w:hAnsi="宋体" w:cs="宋体"/>
          <w:color w:val="auto"/>
          <w:szCs w:val="21"/>
          <w:highlight w:val="none"/>
        </w:rPr>
        <w:t>　　一、工程质量保修范围和内容</w:t>
      </w:r>
    </w:p>
    <w:p>
      <w:pPr>
        <w:spacing w:line="600" w:lineRule="exact"/>
        <w:rPr>
          <w:rFonts w:ascii="宋体" w:hAnsi="宋体" w:cs="宋体"/>
          <w:color w:val="auto"/>
          <w:szCs w:val="21"/>
          <w:highlight w:val="none"/>
        </w:rPr>
      </w:pPr>
      <w:r>
        <w:rPr>
          <w:rFonts w:hint="eastAsia" w:ascii="宋体" w:hAnsi="宋体" w:cs="宋体"/>
          <w:color w:val="auto"/>
          <w:szCs w:val="21"/>
          <w:highlight w:val="none"/>
        </w:rPr>
        <w:t>　　承包人在质量保修期内，按照有关法律规定和合同约定，承担工程质量保修责任。</w:t>
      </w:r>
    </w:p>
    <w:p>
      <w:pPr>
        <w:spacing w:line="600" w:lineRule="exact"/>
        <w:rPr>
          <w:rFonts w:ascii="宋体" w:hAnsi="宋体" w:cs="宋体"/>
          <w:color w:val="auto"/>
          <w:szCs w:val="21"/>
          <w:highlight w:val="none"/>
          <w:u w:val="single"/>
        </w:rPr>
      </w:pPr>
      <w:r>
        <w:rPr>
          <w:rFonts w:hint="eastAsia" w:ascii="宋体" w:hAnsi="宋体" w:cs="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比选及施工合同范围内的全部内容</w:t>
      </w:r>
      <w:r>
        <w:rPr>
          <w:rFonts w:hint="eastAsia" w:ascii="宋体" w:hAnsi="宋体" w:cs="宋体"/>
          <w:color w:val="auto"/>
          <w:szCs w:val="21"/>
          <w:highlight w:val="none"/>
        </w:rPr>
        <w:t>。</w:t>
      </w:r>
    </w:p>
    <w:p>
      <w:pPr>
        <w:spacing w:line="600" w:lineRule="exact"/>
        <w:rPr>
          <w:rFonts w:ascii="宋体" w:hAnsi="宋体" w:cs="宋体"/>
          <w:color w:val="auto"/>
          <w:szCs w:val="21"/>
          <w:highlight w:val="none"/>
        </w:rPr>
      </w:pPr>
      <w:r>
        <w:rPr>
          <w:rFonts w:hint="eastAsia" w:ascii="宋体" w:hAnsi="宋体" w:cs="宋体"/>
          <w:color w:val="auto"/>
          <w:szCs w:val="21"/>
          <w:highlight w:val="none"/>
        </w:rPr>
        <w:t>　　二、质量保修期</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1．防水项目保修期限约定：</w:t>
      </w:r>
      <w:r>
        <w:rPr>
          <w:rFonts w:hint="eastAsia" w:ascii="宋体" w:hAnsi="宋体" w:cs="宋体"/>
          <w:color w:val="auto"/>
          <w:szCs w:val="21"/>
          <w:highlight w:val="none"/>
          <w:u w:val="single"/>
        </w:rPr>
        <w:t>5</w:t>
      </w:r>
      <w:r>
        <w:rPr>
          <w:rFonts w:hint="eastAsia" w:ascii="宋体" w:hAnsi="宋体" w:cs="宋体"/>
          <w:color w:val="auto"/>
          <w:szCs w:val="21"/>
          <w:highlight w:val="none"/>
        </w:rPr>
        <w:t>年，其他项目保修期限约定：</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质量保修期自工程竣工验收合格之日起计算。</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3.质量保修期满2年，无质量问题，发包人退还质量保证金的50%；质量保修期限满5年，无质量问题，发包人退还剩余的质量保证金。</w:t>
      </w:r>
    </w:p>
    <w:p>
      <w:pPr>
        <w:spacing w:line="600" w:lineRule="exact"/>
        <w:rPr>
          <w:rFonts w:ascii="宋体" w:hAnsi="宋体" w:cs="宋体"/>
          <w:color w:val="auto"/>
          <w:szCs w:val="21"/>
          <w:highlight w:val="none"/>
        </w:rPr>
      </w:pPr>
      <w:r>
        <w:rPr>
          <w:rFonts w:hint="eastAsia" w:ascii="宋体" w:hAnsi="宋体" w:cs="宋体"/>
          <w:color w:val="auto"/>
          <w:szCs w:val="21"/>
          <w:highlight w:val="none"/>
        </w:rPr>
        <w:t xml:space="preserve">    三、质量保修责任</w:t>
      </w:r>
    </w:p>
    <w:p>
      <w:pPr>
        <w:spacing w:line="600" w:lineRule="exact"/>
        <w:ind w:left="105" w:leftChars="50" w:firstLine="430" w:firstLineChars="205"/>
        <w:rPr>
          <w:rFonts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1．属于保修范围、内容的项目，承包人应当在接到保修通知之日起24小时内派人保修。承包人不在约定期限内派人保修的，发包人可以委托他人修理。</w:t>
      </w:r>
    </w:p>
    <w:p>
      <w:pPr>
        <w:spacing w:line="600" w:lineRule="exact"/>
        <w:ind w:left="105" w:leftChars="50" w:firstLine="430" w:firstLineChars="205"/>
        <w:rPr>
          <w:rFonts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pPr>
        <w:spacing w:line="600" w:lineRule="exact"/>
        <w:ind w:left="105" w:leftChars="50" w:firstLine="430" w:firstLineChars="205"/>
        <w:rPr>
          <w:rFonts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600" w:lineRule="exact"/>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4．质量保修完成后，由发包人组织验收。</w:t>
      </w:r>
    </w:p>
    <w:p>
      <w:pPr>
        <w:spacing w:line="600" w:lineRule="exact"/>
        <w:rPr>
          <w:rFonts w:ascii="宋体" w:hAnsi="宋体" w:cs="宋体"/>
          <w:color w:val="auto"/>
          <w:szCs w:val="21"/>
          <w:highlight w:val="none"/>
        </w:rPr>
      </w:pPr>
      <w:r>
        <w:rPr>
          <w:rFonts w:hint="eastAsia" w:ascii="宋体" w:hAnsi="宋体" w:cs="宋体"/>
          <w:color w:val="auto"/>
          <w:szCs w:val="21"/>
          <w:highlight w:val="none"/>
        </w:rPr>
        <w:t>　　四、保修费用</w:t>
      </w:r>
    </w:p>
    <w:p>
      <w:pPr>
        <w:spacing w:line="600" w:lineRule="exact"/>
        <w:rPr>
          <w:rFonts w:ascii="宋体" w:hAnsi="宋体" w:cs="宋体"/>
          <w:color w:val="auto"/>
          <w:szCs w:val="21"/>
          <w:highlight w:val="none"/>
        </w:rPr>
      </w:pPr>
      <w:r>
        <w:rPr>
          <w:rFonts w:hint="eastAsia" w:ascii="宋体" w:hAnsi="宋体" w:cs="宋体"/>
          <w:color w:val="auto"/>
          <w:szCs w:val="21"/>
          <w:highlight w:val="none"/>
        </w:rPr>
        <w:t>　　保修费用由造成质量缺陷的责任方承担。</w:t>
      </w:r>
    </w:p>
    <w:p>
      <w:pPr>
        <w:spacing w:line="600" w:lineRule="exact"/>
        <w:rPr>
          <w:rFonts w:ascii="宋体" w:hAnsi="宋体" w:cs="宋体"/>
          <w:color w:val="auto"/>
          <w:szCs w:val="21"/>
          <w:highlight w:val="none"/>
        </w:rPr>
      </w:pPr>
      <w:r>
        <w:rPr>
          <w:rFonts w:hint="eastAsia" w:ascii="宋体" w:hAnsi="宋体" w:cs="宋体"/>
          <w:b/>
          <w:color w:val="auto"/>
          <w:szCs w:val="21"/>
          <w:highlight w:val="none"/>
        </w:rPr>
        <w:t>五</w:t>
      </w:r>
      <w:r>
        <w:rPr>
          <w:rFonts w:hint="eastAsia" w:ascii="宋体" w:hAnsi="宋体" w:cs="宋体"/>
          <w:color w:val="auto"/>
          <w:szCs w:val="21"/>
          <w:highlight w:val="none"/>
        </w:rPr>
        <w:t>、双方约定的其他工程质量保修事项：</w:t>
      </w:r>
      <w:r>
        <w:rPr>
          <w:rFonts w:hint="eastAsia" w:ascii="宋体" w:hAnsi="宋体" w:cs="宋体"/>
          <w:color w:val="auto"/>
          <w:szCs w:val="21"/>
          <w:highlight w:val="none"/>
          <w:u w:val="single"/>
        </w:rPr>
        <w:t xml:space="preserve">        /         </w:t>
      </w:r>
    </w:p>
    <w:p>
      <w:pPr>
        <w:spacing w:line="600" w:lineRule="exact"/>
        <w:ind w:firstLine="399" w:firstLineChars="19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工程质量保修书由发包人、承包人在工程竣工验收前共同签署，作为施工合同附件，一式十四份，发包人捌份，承包人伍份。由双方法定代表人或其授权的代理人签署并加盖公章后生效，其有效期限至保修期满。</w:t>
      </w:r>
    </w:p>
    <w:p>
      <w:pPr>
        <w:spacing w:line="600" w:lineRule="exact"/>
        <w:ind w:firstLine="420"/>
        <w:rPr>
          <w:rFonts w:ascii="宋体" w:hAnsi="宋体" w:cs="宋体"/>
          <w:color w:val="auto"/>
          <w:szCs w:val="21"/>
          <w:highlight w:val="none"/>
        </w:rPr>
      </w:pP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发包人(公章)：                                承包人(公章)：</w:t>
      </w:r>
    </w:p>
    <w:p>
      <w:pPr>
        <w:spacing w:line="600" w:lineRule="exact"/>
        <w:rPr>
          <w:rFonts w:ascii="宋体" w:hAnsi="宋体" w:cs="宋体"/>
          <w:color w:val="auto"/>
          <w:szCs w:val="21"/>
          <w:highlight w:val="none"/>
        </w:rPr>
      </w:pP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或公司总经理(签字)：                            法定代表人(签字)：</w:t>
      </w:r>
    </w:p>
    <w:p>
      <w:pPr>
        <w:spacing w:line="600" w:lineRule="exact"/>
        <w:ind w:firstLine="420" w:firstLineChars="200"/>
        <w:rPr>
          <w:rFonts w:ascii="宋体" w:hAnsi="宋体" w:cs="宋体"/>
          <w:color w:val="auto"/>
          <w:szCs w:val="21"/>
          <w:highlight w:val="none"/>
        </w:rPr>
      </w:pPr>
    </w:p>
    <w:p>
      <w:pPr>
        <w:spacing w:line="600" w:lineRule="exact"/>
        <w:ind w:firstLine="840" w:firstLineChars="400"/>
        <w:rPr>
          <w:rFonts w:ascii="宋体" w:hAnsi="宋体" w:cs="宋体"/>
          <w:color w:val="auto"/>
          <w:szCs w:val="21"/>
          <w:highlight w:val="none"/>
        </w:rPr>
      </w:pPr>
      <w:r>
        <w:rPr>
          <w:rFonts w:hint="eastAsia" w:ascii="宋体" w:hAnsi="宋体" w:cs="宋体"/>
          <w:color w:val="auto"/>
          <w:szCs w:val="21"/>
          <w:highlight w:val="none"/>
        </w:rPr>
        <w:t>年    月    日                                年    月    日</w:t>
      </w:r>
    </w:p>
    <w:p>
      <w:pPr>
        <w:spacing w:line="440" w:lineRule="exact"/>
        <w:rPr>
          <w:rFonts w:ascii="宋体" w:hAnsi="宋体" w:cs="宋体"/>
          <w:color w:val="auto"/>
          <w:sz w:val="30"/>
          <w:szCs w:val="30"/>
          <w:highlight w:val="none"/>
        </w:rPr>
      </w:pPr>
    </w:p>
    <w:p>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br w:type="page"/>
      </w:r>
      <w:r>
        <w:rPr>
          <w:rFonts w:hint="eastAsia" w:ascii="宋体" w:hAnsi="宋体" w:cs="宋体"/>
          <w:color w:val="auto"/>
          <w:szCs w:val="21"/>
          <w:highlight w:val="none"/>
        </w:rPr>
        <w:t>附件2：</w:t>
      </w:r>
    </w:p>
    <w:p>
      <w:pPr>
        <w:spacing w:before="120" w:beforeLines="50" w:after="120"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承包人主要施工管理人员表</w:t>
      </w:r>
    </w:p>
    <w:tbl>
      <w:tblPr>
        <w:tblStyle w:val="3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92"/>
        <w:gridCol w:w="1360"/>
        <w:gridCol w:w="1333"/>
        <w:gridCol w:w="40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    称</w:t>
            </w:r>
          </w:p>
        </w:tc>
        <w:tc>
          <w:tcPr>
            <w:tcW w:w="1192" w:type="dxa"/>
            <w:tcBorders>
              <w:top w:val="single" w:color="auto" w:sz="12" w:space="0"/>
              <w:left w:val="single" w:color="auto" w:sz="6" w:space="0"/>
              <w:bottom w:val="doub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姓名</w:t>
            </w:r>
          </w:p>
        </w:tc>
        <w:tc>
          <w:tcPr>
            <w:tcW w:w="1360" w:type="dxa"/>
            <w:tcBorders>
              <w:top w:val="single" w:color="auto" w:sz="12" w:space="0"/>
              <w:left w:val="single" w:color="auto" w:sz="6" w:space="0"/>
              <w:bottom w:val="doub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职务</w:t>
            </w:r>
          </w:p>
        </w:tc>
        <w:tc>
          <w:tcPr>
            <w:tcW w:w="1333" w:type="dxa"/>
            <w:tcBorders>
              <w:top w:val="single" w:color="auto" w:sz="12" w:space="0"/>
              <w:left w:val="single" w:color="auto" w:sz="6" w:space="0"/>
              <w:bottom w:val="doub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职称</w:t>
            </w:r>
          </w:p>
        </w:tc>
        <w:tc>
          <w:tcPr>
            <w:tcW w:w="4053" w:type="dxa"/>
            <w:tcBorders>
              <w:top w:val="single" w:color="auto" w:sz="12" w:space="0"/>
              <w:left w:val="single" w:color="auto" w:sz="6" w:space="0"/>
              <w:bottom w:val="doub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项目经理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施工管理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造价管理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材料管理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安全管理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color w:val="auto"/>
                <w:sz w:val="26"/>
                <w:szCs w:val="21"/>
                <w:highlight w:val="none"/>
              </w:rPr>
            </w:pPr>
          </w:p>
        </w:tc>
        <w:tc>
          <w:tcPr>
            <w:tcW w:w="1192" w:type="dxa"/>
            <w:tcBorders>
              <w:top w:val="single" w:color="auto" w:sz="6" w:space="0"/>
              <w:left w:val="single" w:color="auto" w:sz="6" w:space="0"/>
              <w:bottom w:val="nil"/>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nil"/>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nil"/>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nil"/>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color w:val="auto"/>
                <w:sz w:val="26"/>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color w:val="auto"/>
                <w:sz w:val="26"/>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color w:val="auto"/>
                <w:sz w:val="26"/>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color w:val="auto"/>
                <w:sz w:val="26"/>
                <w:szCs w:val="21"/>
                <w:highlight w:val="none"/>
              </w:rPr>
            </w:pPr>
          </w:p>
        </w:tc>
        <w:tc>
          <w:tcPr>
            <w:tcW w:w="1192" w:type="dxa"/>
            <w:tcBorders>
              <w:top w:val="single" w:color="auto" w:sz="6" w:space="0"/>
              <w:left w:val="single" w:color="auto" w:sz="6" w:space="0"/>
              <w:bottom w:val="single" w:color="auto" w:sz="12"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60" w:type="dxa"/>
            <w:tcBorders>
              <w:top w:val="single" w:color="auto" w:sz="6" w:space="0"/>
              <w:left w:val="single" w:color="auto" w:sz="6" w:space="0"/>
              <w:bottom w:val="single" w:color="auto" w:sz="12"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1333" w:type="dxa"/>
            <w:tcBorders>
              <w:top w:val="single" w:color="auto" w:sz="6" w:space="0"/>
              <w:left w:val="single" w:color="auto" w:sz="6" w:space="0"/>
              <w:bottom w:val="single" w:color="auto" w:sz="12" w:space="0"/>
              <w:right w:val="single" w:color="auto" w:sz="6" w:space="0"/>
            </w:tcBorders>
            <w:vAlign w:val="center"/>
          </w:tcPr>
          <w:p>
            <w:pPr>
              <w:pStyle w:val="2"/>
              <w:keepNext/>
              <w:spacing w:line="440" w:lineRule="exact"/>
              <w:ind w:left="63" w:right="63"/>
              <w:rPr>
                <w:rFonts w:ascii="宋体" w:hAnsi="宋体" w:cs="宋体"/>
                <w:color w:val="auto"/>
                <w:szCs w:val="21"/>
                <w:highlight w:val="none"/>
              </w:rPr>
            </w:pPr>
          </w:p>
        </w:tc>
        <w:tc>
          <w:tcPr>
            <w:tcW w:w="4053" w:type="dxa"/>
            <w:tcBorders>
              <w:top w:val="single" w:color="auto" w:sz="6" w:space="0"/>
              <w:left w:val="single" w:color="auto" w:sz="6" w:space="0"/>
              <w:bottom w:val="single" w:color="auto" w:sz="12" w:space="0"/>
              <w:right w:val="single" w:color="auto" w:sz="12" w:space="0"/>
            </w:tcBorders>
            <w:vAlign w:val="center"/>
          </w:tcPr>
          <w:p>
            <w:pPr>
              <w:pStyle w:val="2"/>
              <w:keepNext/>
              <w:spacing w:line="440" w:lineRule="exact"/>
              <w:ind w:left="63" w:right="63"/>
              <w:rPr>
                <w:rFonts w:ascii="宋体" w:hAnsi="宋体" w:cs="宋体"/>
                <w:color w:val="auto"/>
                <w:szCs w:val="21"/>
                <w:highlight w:val="none"/>
              </w:rPr>
            </w:pPr>
          </w:p>
        </w:tc>
      </w:tr>
    </w:tbl>
    <w:p>
      <w:pPr>
        <w:spacing w:before="120" w:beforeLines="50" w:after="120" w:afterLines="50" w:line="440" w:lineRule="exact"/>
        <w:jc w:val="center"/>
        <w:rPr>
          <w:rFonts w:ascii="宋体" w:hAnsi="宋体" w:cs="宋体"/>
          <w:color w:val="auto"/>
          <w:sz w:val="30"/>
          <w:szCs w:val="30"/>
          <w:highlight w:val="none"/>
        </w:rPr>
      </w:pPr>
    </w:p>
    <w:p>
      <w:pPr>
        <w:spacing w:before="120" w:beforeLines="50" w:after="120" w:afterLines="50" w:line="440" w:lineRule="exact"/>
        <w:jc w:val="center"/>
        <w:rPr>
          <w:rFonts w:ascii="宋体" w:hAnsi="宋体" w:cs="宋体"/>
          <w:color w:val="auto"/>
          <w:sz w:val="30"/>
          <w:szCs w:val="30"/>
          <w:highlight w:val="none"/>
        </w:rPr>
      </w:pPr>
    </w:p>
    <w:p>
      <w:pPr>
        <w:spacing w:before="120" w:beforeLines="50" w:after="120" w:afterLines="50" w:line="440" w:lineRule="exact"/>
        <w:jc w:val="center"/>
        <w:rPr>
          <w:rFonts w:ascii="宋体" w:hAnsi="宋体" w:cs="宋体"/>
          <w:color w:val="auto"/>
          <w:sz w:val="30"/>
          <w:szCs w:val="30"/>
          <w:highlight w:val="none"/>
        </w:rPr>
      </w:pPr>
    </w:p>
    <w:p>
      <w:pPr>
        <w:spacing w:before="120" w:beforeLines="50" w:after="120" w:afterLines="50" w:line="440" w:lineRule="exact"/>
        <w:jc w:val="center"/>
        <w:rPr>
          <w:rFonts w:ascii="宋体" w:hAnsi="宋体" w:cs="宋体"/>
          <w:color w:val="auto"/>
          <w:sz w:val="30"/>
          <w:szCs w:val="30"/>
          <w:highlight w:val="none"/>
        </w:rPr>
      </w:pPr>
    </w:p>
    <w:p>
      <w:pPr>
        <w:spacing w:before="120" w:beforeLines="50" w:after="120" w:afterLines="50" w:line="440" w:lineRule="exact"/>
        <w:jc w:val="center"/>
        <w:rPr>
          <w:rFonts w:ascii="宋体" w:hAnsi="宋体" w:cs="宋体"/>
          <w:color w:val="auto"/>
          <w:sz w:val="30"/>
          <w:szCs w:val="30"/>
          <w:highlight w:val="none"/>
        </w:rPr>
      </w:pPr>
    </w:p>
    <w:p>
      <w:pPr>
        <w:spacing w:before="120" w:beforeLines="50" w:after="120" w:afterLines="50" w:line="440" w:lineRule="exact"/>
        <w:jc w:val="center"/>
        <w:rPr>
          <w:rFonts w:ascii="宋体" w:hAnsi="宋体" w:cs="宋体"/>
          <w:color w:val="auto"/>
          <w:sz w:val="30"/>
          <w:szCs w:val="30"/>
          <w:highlight w:val="none"/>
        </w:rPr>
      </w:pPr>
    </w:p>
    <w:p>
      <w:pPr>
        <w:spacing w:before="120" w:beforeLines="50" w:after="120" w:afterLines="50" w:line="440" w:lineRule="exact"/>
        <w:jc w:val="center"/>
        <w:rPr>
          <w:rFonts w:ascii="宋体" w:hAnsi="宋体" w:cs="宋体"/>
          <w:color w:val="auto"/>
          <w:sz w:val="30"/>
          <w:szCs w:val="30"/>
          <w:highlight w:val="none"/>
        </w:rPr>
      </w:pPr>
    </w:p>
    <w:p>
      <w:pPr>
        <w:spacing w:before="120" w:beforeLines="50" w:after="120" w:afterLines="50" w:line="440" w:lineRule="exact"/>
        <w:jc w:val="center"/>
        <w:rPr>
          <w:rFonts w:ascii="宋体" w:hAnsi="宋体" w:cs="宋体"/>
          <w:color w:val="auto"/>
          <w:sz w:val="30"/>
          <w:szCs w:val="30"/>
          <w:highlight w:val="none"/>
        </w:rPr>
      </w:pPr>
    </w:p>
    <w:p>
      <w:pPr>
        <w:spacing w:before="120" w:beforeLines="50" w:after="120" w:afterLines="50" w:line="440" w:lineRule="exact"/>
        <w:rPr>
          <w:rFonts w:ascii="宋体" w:hAnsi="宋体" w:cs="宋体"/>
          <w:color w:val="auto"/>
          <w:sz w:val="30"/>
          <w:szCs w:val="30"/>
          <w:highlight w:val="none"/>
        </w:rPr>
      </w:pPr>
    </w:p>
    <w:p>
      <w:pPr>
        <w:spacing w:before="120" w:beforeLines="50" w:after="120" w:afterLines="50" w:line="440" w:lineRule="exact"/>
        <w:rPr>
          <w:rFonts w:ascii="宋体" w:hAnsi="宋体" w:cs="宋体"/>
          <w:color w:val="auto"/>
          <w:szCs w:val="21"/>
          <w:highlight w:val="none"/>
        </w:rPr>
      </w:pPr>
      <w:r>
        <w:rPr>
          <w:rFonts w:hint="eastAsia" w:ascii="宋体" w:hAnsi="宋体" w:cs="宋体"/>
          <w:color w:val="auto"/>
          <w:sz w:val="30"/>
          <w:szCs w:val="30"/>
          <w:highlight w:val="none"/>
        </w:rPr>
        <w:br w:type="page"/>
      </w:r>
      <w:r>
        <w:rPr>
          <w:rFonts w:hint="eastAsia" w:ascii="宋体" w:hAnsi="宋体" w:cs="宋体"/>
          <w:color w:val="auto"/>
          <w:szCs w:val="21"/>
          <w:highlight w:val="none"/>
        </w:rPr>
        <w:t>附件3：</w:t>
      </w:r>
    </w:p>
    <w:p>
      <w:pPr>
        <w:spacing w:line="520" w:lineRule="exact"/>
        <w:ind w:firstLine="880" w:firstLineChars="200"/>
        <w:jc w:val="center"/>
        <w:rPr>
          <w:rFonts w:ascii="宋体" w:hAnsi="宋体" w:cs="宋体"/>
          <w:color w:val="auto"/>
          <w:sz w:val="44"/>
          <w:szCs w:val="44"/>
          <w:highlight w:val="none"/>
        </w:rPr>
      </w:pPr>
      <w:r>
        <w:rPr>
          <w:rFonts w:hint="eastAsia" w:ascii="宋体" w:hAnsi="宋体" w:cs="宋体"/>
          <w:color w:val="auto"/>
          <w:sz w:val="44"/>
          <w:szCs w:val="44"/>
          <w:highlight w:val="none"/>
        </w:rPr>
        <w:t>安全生产合同</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    为在</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施工合同的实施过程中创造安全、高效的施工环境，切实搞好本项目的安全管理工作，本项目业主（以下简称“甲方”）与施工单位（以下简称“乙方”）特此签订安全生产合同：</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一、甲方职责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2、重要的安全设施必须坚持与主体工程“三同时”的原则，即：同时设计、审批，同时施工，同时验收，投入使用。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3、传达中央及地方有关安全生产的精神。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4、不定期组织对乙方施工现场安全生产检查，监督乙方及时处理发现的各种安全隐患。</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二、乙方职责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4、乙方在任何时候都应采取各种合理的预防措施，防止其员工发生任何违法、违禁、暴力或妨碍治安的行为。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7、乙方应随时检查并监督施工单位操作人员上岗必须按规定穿戴防护用品。不按规定穿戴防护用品的人员不得上岗。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8、施工单位对所有施工机具设备和高空作业的设备均应定期检查，并有安全员的签字记录，保证其经常处于完好状态；不合格的机具、设备和劳动保护用品严禁使用。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9、施工单位对施工中采用新技术、新工艺、新设备、新材料时，必须制定相应的安全技术措施，施工现场必须具有相关的安全标志牌。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11、承包人严格执行《建设工程安全生产管理条例》。若施工单位在工程施工过程中发生安全事故，由施工单位负全责；施工单位在工程施工过程中发生安全事故，监理单位负连带责任。</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三、违约责任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如因甲方或乙方违约造成安全事故，将依法追究责任。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本合同正本肆份，合同双方各执贰份，副本捌份，发包人执陆份，承包人执贰份。由双方法定代表人或其授权的代理人签署与加盖公章后生效，全部工程竣工验收后失效。</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甲    方：                   </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乙   方：</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法定代表人：　　　  　　　　　　</w:t>
      </w:r>
      <w:r>
        <w:rPr>
          <w:rFonts w:hint="eastAsia" w:ascii="宋体" w:hAnsi="宋体" w:cs="宋体"/>
          <w:color w:val="auto"/>
          <w:szCs w:val="21"/>
          <w:highlight w:val="none"/>
        </w:rPr>
        <w:tab/>
      </w:r>
      <w:r>
        <w:rPr>
          <w:rFonts w:hint="eastAsia" w:ascii="宋体" w:hAnsi="宋体" w:cs="宋体"/>
          <w:color w:val="auto"/>
          <w:szCs w:val="21"/>
          <w:highlight w:val="none"/>
        </w:rPr>
        <w:t xml:space="preserve">                   法定代表人：</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年    月    日　　　　　　　　  </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年    月    日</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附件5：保障农民工工资支付协议</w:t>
      </w:r>
    </w:p>
    <w:p>
      <w:pPr>
        <w:spacing w:before="120" w:beforeLines="50" w:after="120"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发包人：（发包人）</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字确认书。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应全程监督，选举结果与当期工程款支付申请一并报送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六、本协议经双方法定代表人或委托代理人签字并加盖公章后生效，履行完毕后自然失效。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pPr>
        <w:pStyle w:val="2"/>
        <w:spacing w:line="360" w:lineRule="auto"/>
        <w:ind w:firstLine="520" w:firstLineChars="200"/>
        <w:rPr>
          <w:rFonts w:ascii="宋体" w:hAnsi="宋体"/>
          <w:color w:val="auto"/>
          <w:szCs w:val="21"/>
          <w:highlight w:val="none"/>
        </w:rPr>
      </w:pPr>
    </w:p>
    <w:p>
      <w:pPr>
        <w:pStyle w:val="2"/>
        <w:spacing w:line="360" w:lineRule="auto"/>
        <w:ind w:firstLine="520" w:firstLineChars="200"/>
        <w:rPr>
          <w:rFonts w:ascii="宋体" w:hAnsi="宋体"/>
          <w:color w:val="auto"/>
          <w:szCs w:val="21"/>
          <w:highlight w:val="none"/>
        </w:rPr>
      </w:pPr>
    </w:p>
    <w:p>
      <w:pPr>
        <w:pStyle w:val="2"/>
        <w:spacing w:line="360" w:lineRule="auto"/>
        <w:ind w:firstLine="5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pStyle w:val="2"/>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发包人：（发包人）</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p>
    <w:p>
      <w:pPr>
        <w:spacing w:line="360" w:lineRule="auto"/>
        <w:rPr>
          <w:rFonts w:ascii="宋体" w:hAnsi="宋体"/>
          <w:color w:val="auto"/>
          <w:szCs w:val="21"/>
          <w:highlight w:val="none"/>
        </w:rPr>
      </w:pPr>
      <w:r>
        <w:rPr>
          <w:rFonts w:hint="eastAsia" w:ascii="宋体" w:hAnsi="宋体"/>
          <w:color w:val="auto"/>
          <w:szCs w:val="21"/>
          <w:highlight w:val="none"/>
        </w:rPr>
        <w:t>或委托代理人：</w:t>
      </w:r>
    </w:p>
    <w:p>
      <w:pPr>
        <w:spacing w:line="360" w:lineRule="auto"/>
        <w:rPr>
          <w:rFonts w:ascii="宋体" w:hAnsi="宋体"/>
          <w:color w:val="auto"/>
          <w:szCs w:val="21"/>
          <w:highlight w:val="none"/>
        </w:rPr>
      </w:pPr>
      <w:r>
        <w:rPr>
          <w:rFonts w:hint="eastAsia" w:ascii="宋体" w:hAnsi="宋体"/>
          <w:color w:val="auto"/>
          <w:szCs w:val="21"/>
          <w:highlight w:val="none"/>
        </w:rPr>
        <w:t>联系人：</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承包人：（承包人）</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p>
    <w:p>
      <w:pPr>
        <w:spacing w:line="360" w:lineRule="auto"/>
        <w:rPr>
          <w:rFonts w:ascii="宋体" w:hAnsi="宋体"/>
          <w:color w:val="auto"/>
          <w:szCs w:val="21"/>
          <w:highlight w:val="none"/>
        </w:rPr>
      </w:pPr>
      <w:r>
        <w:rPr>
          <w:rFonts w:hint="eastAsia" w:ascii="宋体" w:hAnsi="宋体"/>
          <w:color w:val="auto"/>
          <w:szCs w:val="21"/>
          <w:highlight w:val="none"/>
        </w:rPr>
        <w:t>或委托代理人：</w:t>
      </w:r>
    </w:p>
    <w:p>
      <w:pPr>
        <w:spacing w:line="360" w:lineRule="auto"/>
        <w:rPr>
          <w:rFonts w:ascii="宋体" w:hAnsi="宋体"/>
          <w:color w:val="auto"/>
          <w:szCs w:val="21"/>
          <w:highlight w:val="none"/>
        </w:rPr>
      </w:pPr>
      <w:r>
        <w:rPr>
          <w:rFonts w:hint="eastAsia" w:ascii="宋体" w:hAnsi="宋体"/>
          <w:color w:val="auto"/>
          <w:szCs w:val="21"/>
          <w:highlight w:val="none"/>
        </w:rPr>
        <w:t>联系人：</w:t>
      </w:r>
    </w:p>
    <w:p>
      <w:pPr>
        <w:rPr>
          <w:rFonts w:ascii="宋体" w:hAnsi="宋体" w:cs="宋体"/>
          <w:color w:val="auto"/>
          <w:highlight w:val="none"/>
        </w:rPr>
      </w:pPr>
      <w:r>
        <w:rPr>
          <w:rFonts w:ascii="宋体" w:hAnsi="宋体" w:cs="宋体"/>
          <w:color w:val="auto"/>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保障农民工工资支付协议附件1：</w:t>
      </w:r>
    </w:p>
    <w:p>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30"/>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施工单位项目负责人签字（加盖项目章）：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总监签字并加盖项目章：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项目负责人签字：</w:t>
            </w:r>
          </w:p>
        </w:tc>
      </w:tr>
    </w:tbl>
    <w:p>
      <w:pPr>
        <w:pStyle w:val="28"/>
        <w:ind w:firstLine="260"/>
        <w:rPr>
          <w:color w:val="auto"/>
          <w:highlight w:val="none"/>
        </w:rPr>
      </w:pPr>
    </w:p>
    <w:p>
      <w:pPr>
        <w:rPr>
          <w:rFonts w:ascii="宋体" w:hAnsi="宋体" w:cs="宋体"/>
          <w:color w:val="auto"/>
          <w:highlight w:val="none"/>
        </w:rPr>
      </w:pPr>
    </w:p>
    <w:p>
      <w:pPr>
        <w:rPr>
          <w:rFonts w:ascii="宋体" w:hAnsi="宋体" w:cs="宋体"/>
          <w:b/>
          <w:color w:val="auto"/>
          <w:kern w:val="0"/>
          <w:sz w:val="36"/>
          <w:szCs w:val="36"/>
          <w:highlight w:val="none"/>
        </w:rPr>
      </w:pPr>
      <w:bookmarkStart w:id="907" w:name="_Hlt468886211"/>
      <w:bookmarkEnd w:id="907"/>
      <w:bookmarkStart w:id="908" w:name="_Toc6430"/>
      <w:bookmarkStart w:id="909" w:name="_Toc430206082"/>
      <w:bookmarkStart w:id="910" w:name="_Toc25293"/>
      <w:bookmarkStart w:id="911" w:name="_Toc14423"/>
      <w:r>
        <w:rPr>
          <w:rFonts w:hint="eastAsia" w:ascii="宋体" w:hAnsi="宋体" w:cs="宋体"/>
          <w:b/>
          <w:color w:val="auto"/>
          <w:kern w:val="0"/>
          <w:sz w:val="36"/>
          <w:szCs w:val="36"/>
          <w:highlight w:val="none"/>
        </w:rPr>
        <w:br w:type="page"/>
      </w:r>
    </w:p>
    <w:p>
      <w:pPr>
        <w:spacing w:line="360" w:lineRule="auto"/>
        <w:rPr>
          <w:rFonts w:ascii="宋体" w:hAnsi="宋体" w:cs="宋体"/>
          <w:color w:val="auto"/>
          <w:szCs w:val="21"/>
          <w:highlight w:val="none"/>
        </w:rPr>
      </w:pPr>
      <w:r>
        <w:rPr>
          <w:rFonts w:hint="eastAsia" w:ascii="宋体" w:hAnsi="宋体" w:cs="宋体"/>
          <w:color w:val="auto"/>
          <w:szCs w:val="21"/>
          <w:highlight w:val="none"/>
        </w:rPr>
        <w:t>附件6：技术标准和要求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根据目前国家现行工程建设施工法律、法规、验收标准及相关检验验收办法、标准等。要求中选方按照设计施工图的标准及要求施工，其施工质量应符合本比选工程的国家及重庆市的强制性技术规范、标准。本工程采用的规范、标准由中选单位自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2.本工程技术要求详见设计图纸和设计说明书。本项目的所需材料、设备、施工必须依据设计文件要求，并达到现行中华人民共和国及省、市、行业的一切有关工程建设标准、法规、规范的要求。</w:t>
      </w: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p>
    <w:p>
      <w:pPr>
        <w:widowControl/>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pPr>
        <w:widowControl/>
        <w:snapToGrid w:val="0"/>
        <w:jc w:val="center"/>
        <w:outlineLvl w:val="0"/>
        <w:rPr>
          <w:rFonts w:ascii="宋体" w:hAnsi="宋体" w:cs="宋体"/>
          <w:b/>
          <w:color w:val="auto"/>
          <w:kern w:val="0"/>
          <w:sz w:val="36"/>
          <w:szCs w:val="36"/>
          <w:highlight w:val="none"/>
        </w:rPr>
      </w:pPr>
      <w:bookmarkStart w:id="912" w:name="_Toc13359"/>
      <w:r>
        <w:rPr>
          <w:rFonts w:hint="eastAsia" w:ascii="宋体" w:hAnsi="宋体" w:cs="宋体"/>
          <w:b/>
          <w:color w:val="auto"/>
          <w:kern w:val="0"/>
          <w:sz w:val="36"/>
          <w:szCs w:val="36"/>
          <w:highlight w:val="none"/>
        </w:rPr>
        <w:t>第五章  工程量清单</w:t>
      </w:r>
      <w:bookmarkEnd w:id="908"/>
      <w:bookmarkEnd w:id="909"/>
      <w:bookmarkEnd w:id="910"/>
      <w:bookmarkEnd w:id="911"/>
      <w:bookmarkEnd w:id="912"/>
    </w:p>
    <w:p>
      <w:pPr>
        <w:spacing w:line="360" w:lineRule="auto"/>
        <w:jc w:val="center"/>
        <w:rPr>
          <w:rFonts w:ascii="宋体" w:hAnsi="宋体" w:cs="宋体"/>
          <w:color w:val="auto"/>
          <w:sz w:val="22"/>
          <w:szCs w:val="22"/>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在“行采家”上发布，由竞选人自行下载。</w:t>
      </w:r>
    </w:p>
    <w:p>
      <w:pPr>
        <w:widowControl/>
        <w:spacing w:after="240" w:line="360" w:lineRule="auto"/>
        <w:ind w:firstLine="480" w:firstLineChars="200"/>
        <w:jc w:val="left"/>
        <w:rPr>
          <w:rFonts w:ascii="宋体" w:hAnsi="宋体" w:cs="宋体"/>
          <w:color w:val="auto"/>
          <w:highlight w:val="none"/>
        </w:rPr>
      </w:pP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spacing w:line="360" w:lineRule="auto"/>
        <w:jc w:val="center"/>
        <w:rPr>
          <w:rFonts w:ascii="宋体" w:hAnsi="宋体" w:cs="宋体"/>
          <w:b/>
          <w:color w:val="auto"/>
          <w:kern w:val="0"/>
          <w:sz w:val="4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widowControl/>
        <w:snapToGrid w:val="0"/>
        <w:outlineLvl w:val="0"/>
        <w:rPr>
          <w:rFonts w:ascii="宋体" w:hAnsi="宋体" w:cs="宋体"/>
          <w:b/>
          <w:color w:val="auto"/>
          <w:kern w:val="0"/>
          <w:sz w:val="36"/>
          <w:szCs w:val="36"/>
          <w:highlight w:val="none"/>
        </w:rPr>
      </w:pPr>
      <w:bookmarkStart w:id="913" w:name="_Hlt468886213"/>
      <w:bookmarkEnd w:id="913"/>
      <w:bookmarkStart w:id="914" w:name="_Toc430206083"/>
    </w:p>
    <w:p>
      <w:pPr>
        <w:widowControl/>
        <w:snapToGrid w:val="0"/>
        <w:jc w:val="center"/>
        <w:outlineLvl w:val="0"/>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bookmarkStart w:id="915" w:name="_Toc32562"/>
      <w:bookmarkStart w:id="916" w:name="_Toc26039"/>
      <w:bookmarkStart w:id="917" w:name="_Toc1809"/>
      <w:bookmarkStart w:id="918" w:name="_Toc19138"/>
      <w:r>
        <w:rPr>
          <w:rFonts w:hint="eastAsia" w:ascii="宋体" w:hAnsi="宋体" w:cs="宋体"/>
          <w:b/>
          <w:color w:val="auto"/>
          <w:kern w:val="0"/>
          <w:sz w:val="36"/>
          <w:szCs w:val="36"/>
          <w:highlight w:val="none"/>
        </w:rPr>
        <w:t>第六章  图纸</w:t>
      </w:r>
      <w:bookmarkEnd w:id="914"/>
      <w:bookmarkEnd w:id="915"/>
      <w:bookmarkEnd w:id="916"/>
      <w:bookmarkEnd w:id="917"/>
      <w:bookmarkEnd w:id="918"/>
    </w:p>
    <w:p>
      <w:pPr>
        <w:spacing w:line="360" w:lineRule="auto"/>
        <w:jc w:val="center"/>
        <w:rPr>
          <w:rFonts w:ascii="宋体" w:hAnsi="宋体" w:cs="宋体"/>
          <w:color w:val="auto"/>
          <w:sz w:val="22"/>
          <w:szCs w:val="22"/>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在“行采家”上发布上发布，由竞选人自行下载。</w:t>
      </w: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color w:val="auto"/>
          <w:kern w:val="0"/>
          <w:sz w:val="24"/>
          <w:highlight w:val="none"/>
        </w:rPr>
      </w:pPr>
    </w:p>
    <w:p>
      <w:pPr>
        <w:widowControl/>
        <w:snapToGrid w:val="0"/>
        <w:rPr>
          <w:rFonts w:ascii="宋体" w:hAnsi="宋体" w:cs="宋体"/>
          <w:color w:val="auto"/>
          <w:kern w:val="0"/>
          <w:sz w:val="24"/>
          <w:highlight w:val="none"/>
        </w:rPr>
      </w:pPr>
    </w:p>
    <w:p>
      <w:pPr>
        <w:widowControl/>
        <w:snapToGrid w:val="0"/>
        <w:jc w:val="center"/>
        <w:outlineLvl w:val="0"/>
        <w:rPr>
          <w:rFonts w:ascii="宋体" w:hAnsi="宋体" w:cs="宋体"/>
          <w:b/>
          <w:color w:val="auto"/>
          <w:kern w:val="0"/>
          <w:sz w:val="36"/>
          <w:szCs w:val="36"/>
          <w:highlight w:val="none"/>
        </w:rPr>
      </w:pPr>
      <w:bookmarkStart w:id="919" w:name="_Toc6603"/>
      <w:bookmarkStart w:id="920" w:name="_Toc15469"/>
      <w:bookmarkStart w:id="921" w:name="_Toc27254"/>
      <w:bookmarkStart w:id="922" w:name="_Toc21484"/>
      <w:bookmarkStart w:id="923" w:name="_Toc430206084"/>
      <w:r>
        <w:rPr>
          <w:rFonts w:hint="eastAsia" w:ascii="宋体" w:hAnsi="宋体" w:cs="宋体"/>
          <w:b/>
          <w:color w:val="auto"/>
          <w:kern w:val="0"/>
          <w:sz w:val="36"/>
          <w:szCs w:val="36"/>
          <w:highlight w:val="none"/>
        </w:rPr>
        <w:t>第七章  技术标准和要求</w:t>
      </w:r>
      <w:bookmarkEnd w:id="919"/>
      <w:bookmarkEnd w:id="920"/>
      <w:bookmarkEnd w:id="921"/>
      <w:bookmarkEnd w:id="922"/>
      <w:bookmarkEnd w:id="923"/>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目前国家现行工程建设施工法律、法规、验收标准及相关检验验收办法、标准等。要求中选方按照设计施工图的标准及要求施工，其施工质量应符合本比选工程的国家及重庆市的强制性技术规范、标准。本工程采用的规范、标准由中选单位自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2.本工程技术要求详见设计图纸和设计说明书。本项目的所需材料、设备、施工必须依据设计文件要求，并达到现行中华人民共和国及省、市、行业的一切有关工程建设标准、法规、规范的要求。</w:t>
      </w:r>
    </w:p>
    <w:p>
      <w:pPr>
        <w:widowControl/>
        <w:snapToGrid w:val="0"/>
        <w:jc w:val="center"/>
        <w:outlineLvl w:val="0"/>
        <w:rPr>
          <w:rFonts w:ascii="宋体" w:hAnsi="宋体" w:cs="宋体"/>
          <w:b/>
          <w:color w:val="auto"/>
          <w:kern w:val="0"/>
          <w:sz w:val="36"/>
          <w:szCs w:val="36"/>
          <w:highlight w:val="none"/>
        </w:rPr>
      </w:pPr>
      <w:bookmarkStart w:id="924" w:name="_Toc26108"/>
      <w:bookmarkStart w:id="925" w:name="_Toc21439"/>
      <w:bookmarkStart w:id="926" w:name="_Toc8027"/>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pStyle w:val="28"/>
        <w:ind w:firstLine="361"/>
        <w:rPr>
          <w:rFonts w:ascii="宋体" w:hAnsi="宋体" w:cs="宋体"/>
          <w:b/>
          <w:color w:val="auto"/>
          <w:kern w:val="0"/>
          <w:sz w:val="36"/>
          <w:szCs w:val="36"/>
          <w:highlight w:val="none"/>
        </w:rPr>
      </w:pPr>
    </w:p>
    <w:p>
      <w:pPr>
        <w:widowControl/>
        <w:snapToGrid w:val="0"/>
        <w:jc w:val="center"/>
        <w:outlineLvl w:val="0"/>
        <w:rPr>
          <w:rFonts w:ascii="宋体" w:hAnsi="宋体" w:cs="宋体"/>
          <w:b/>
          <w:color w:val="auto"/>
          <w:kern w:val="0"/>
          <w:sz w:val="36"/>
          <w:szCs w:val="36"/>
          <w:highlight w:val="none"/>
        </w:rPr>
      </w:pPr>
      <w:bookmarkStart w:id="927" w:name="_Toc15603"/>
      <w:r>
        <w:rPr>
          <w:rFonts w:hint="eastAsia" w:ascii="宋体" w:hAnsi="宋体" w:cs="宋体"/>
          <w:b/>
          <w:color w:val="auto"/>
          <w:kern w:val="0"/>
          <w:sz w:val="36"/>
          <w:szCs w:val="36"/>
          <w:highlight w:val="none"/>
        </w:rPr>
        <w:t>第八章  竞选文件格式</w:t>
      </w:r>
      <w:bookmarkEnd w:id="924"/>
      <w:bookmarkEnd w:id="925"/>
      <w:bookmarkEnd w:id="926"/>
      <w:bookmarkEnd w:id="927"/>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p>
    <w:p>
      <w:pPr>
        <w:pStyle w:val="28"/>
        <w:rPr>
          <w:rFonts w:ascii="宋体" w:hAnsi="宋体" w:cs="宋体"/>
          <w:b/>
          <w:bCs/>
          <w:color w:val="auto"/>
          <w:sz w:val="24"/>
          <w:highlight w:val="none"/>
        </w:rPr>
      </w:pPr>
    </w:p>
    <w:p>
      <w:pPr>
        <w:pStyle w:val="28"/>
        <w:rPr>
          <w:rFonts w:ascii="宋体" w:hAnsi="宋体" w:cs="宋体"/>
          <w:b/>
          <w:bCs/>
          <w:color w:val="auto"/>
          <w:sz w:val="24"/>
          <w:highlight w:val="none"/>
        </w:rPr>
      </w:pPr>
    </w:p>
    <w:p>
      <w:pPr>
        <w:jc w:val="center"/>
        <w:rPr>
          <w:rFonts w:ascii="宋体" w:hAnsi="宋体" w:cs="宋体"/>
          <w:b/>
          <w:bCs/>
          <w:color w:val="auto"/>
          <w:sz w:val="24"/>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目    录</w:t>
      </w:r>
    </w:p>
    <w:p>
      <w:pPr>
        <w:autoSpaceDE w:val="0"/>
        <w:autoSpaceDN w:val="0"/>
        <w:adjustRightInd w:val="0"/>
        <w:snapToGrid w:val="0"/>
        <w:spacing w:line="360" w:lineRule="auto"/>
        <w:jc w:val="left"/>
        <w:rPr>
          <w:rFonts w:ascii="宋体" w:hAnsi="宋体" w:cs="宋体"/>
          <w:b/>
          <w:color w:val="auto"/>
          <w:kern w:val="0"/>
          <w:sz w:val="24"/>
          <w:highlight w:val="none"/>
        </w:rPr>
      </w:pPr>
    </w:p>
    <w:p>
      <w:pPr>
        <w:autoSpaceDE w:val="0"/>
        <w:autoSpaceDN w:val="0"/>
        <w:adjustRightInd w:val="0"/>
        <w:snapToGrid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一、竞选函部分</w:t>
      </w:r>
    </w:p>
    <w:p>
      <w:pPr>
        <w:autoSpaceDE w:val="0"/>
        <w:autoSpaceDN w:val="0"/>
        <w:adjustRightInd w:val="0"/>
        <w:spacing w:line="360" w:lineRule="auto"/>
        <w:ind w:right="-20"/>
        <w:jc w:val="left"/>
        <w:rPr>
          <w:rFonts w:ascii="宋体" w:hAnsi="宋体" w:cs="宋体"/>
          <w:color w:val="auto"/>
          <w:sz w:val="24"/>
          <w:highlight w:val="none"/>
        </w:rPr>
      </w:pPr>
      <w:r>
        <w:rPr>
          <w:rFonts w:hint="eastAsia" w:ascii="宋体" w:hAnsi="宋体" w:cs="宋体"/>
          <w:color w:val="auto"/>
          <w:sz w:val="24"/>
          <w:highlight w:val="none"/>
        </w:rPr>
        <w:t>（一）竞选函</w:t>
      </w:r>
    </w:p>
    <w:p>
      <w:pPr>
        <w:autoSpaceDE w:val="0"/>
        <w:autoSpaceDN w:val="0"/>
        <w:adjustRightInd w:val="0"/>
        <w:spacing w:line="360" w:lineRule="auto"/>
        <w:ind w:right="-20"/>
        <w:jc w:val="left"/>
        <w:rPr>
          <w:rFonts w:ascii="宋体" w:hAnsi="宋体" w:cs="宋体"/>
          <w:color w:val="auto"/>
          <w:sz w:val="24"/>
          <w:highlight w:val="none"/>
        </w:rPr>
      </w:pPr>
      <w:r>
        <w:rPr>
          <w:rFonts w:hint="eastAsia" w:ascii="宋体" w:hAnsi="宋体" w:cs="宋体"/>
          <w:color w:val="auto"/>
          <w:sz w:val="24"/>
          <w:highlight w:val="none"/>
        </w:rPr>
        <w:t>（二）法定代表人身份证明、授权委托书及项目经理委任书</w:t>
      </w:r>
    </w:p>
    <w:p>
      <w:pPr>
        <w:autoSpaceDE w:val="0"/>
        <w:autoSpaceDN w:val="0"/>
        <w:adjustRightInd w:val="0"/>
        <w:snapToGrid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二、商务部分</w:t>
      </w:r>
    </w:p>
    <w:p>
      <w:pPr>
        <w:autoSpaceDE w:val="0"/>
        <w:autoSpaceDN w:val="0"/>
        <w:adjustRightInd w:val="0"/>
        <w:spacing w:line="360" w:lineRule="auto"/>
        <w:ind w:right="-20"/>
        <w:jc w:val="left"/>
        <w:rPr>
          <w:rFonts w:ascii="宋体" w:hAnsi="宋体" w:cs="宋体"/>
          <w:color w:val="auto"/>
          <w:sz w:val="24"/>
          <w:highlight w:val="none"/>
        </w:rPr>
      </w:pPr>
      <w:r>
        <w:rPr>
          <w:rFonts w:hint="eastAsia" w:ascii="宋体" w:hAnsi="宋体" w:cs="宋体"/>
          <w:color w:val="auto"/>
          <w:sz w:val="24"/>
          <w:highlight w:val="none"/>
        </w:rPr>
        <w:t>已标价工程量清单</w:t>
      </w:r>
    </w:p>
    <w:p>
      <w:pPr>
        <w:autoSpaceDE w:val="0"/>
        <w:autoSpaceDN w:val="0"/>
        <w:adjustRightInd w:val="0"/>
        <w:snapToGrid w:val="0"/>
        <w:spacing w:line="360" w:lineRule="auto"/>
        <w:jc w:val="left"/>
        <w:rPr>
          <w:rFonts w:ascii="宋体" w:hAnsi="宋体" w:cs="宋体"/>
          <w:b/>
          <w:color w:val="auto"/>
          <w:sz w:val="24"/>
          <w:highlight w:val="none"/>
        </w:rPr>
      </w:pPr>
      <w:r>
        <w:rPr>
          <w:rFonts w:hint="eastAsia" w:ascii="宋体" w:hAnsi="宋体" w:cs="宋体"/>
          <w:b/>
          <w:color w:val="auto"/>
          <w:kern w:val="0"/>
          <w:sz w:val="24"/>
          <w:highlight w:val="none"/>
        </w:rPr>
        <w:t>三、</w:t>
      </w:r>
      <w:r>
        <w:rPr>
          <w:rFonts w:hint="eastAsia" w:ascii="宋体" w:hAnsi="宋体" w:cs="宋体"/>
          <w:b/>
          <w:color w:val="auto"/>
          <w:sz w:val="24"/>
          <w:highlight w:val="none"/>
        </w:rPr>
        <w:t>资格审查资料</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（一）法定代表人身份证明、授权委托书及项目经理委任书</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（二）竞选人基本情况</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（三）项目管理机构</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（四）近年财务状况表</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（五）近年完成的类似项目情况表</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（六）信誉声明</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（七）其他资料</w:t>
      </w:r>
    </w:p>
    <w:p>
      <w:pPr>
        <w:autoSpaceDE w:val="0"/>
        <w:autoSpaceDN w:val="0"/>
        <w:adjustRightInd w:val="0"/>
        <w:snapToGrid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四、技术部分</w:t>
      </w:r>
    </w:p>
    <w:p>
      <w:pPr>
        <w:pStyle w:val="28"/>
        <w:ind w:firstLine="260"/>
        <w:rPr>
          <w:color w:val="auto"/>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color w:val="auto"/>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outlineLvl w:val="1"/>
        <w:rPr>
          <w:rFonts w:ascii="宋体" w:hAnsi="宋体" w:cs="宋体"/>
          <w:b/>
          <w:bCs/>
          <w:color w:val="auto"/>
          <w:sz w:val="32"/>
          <w:szCs w:val="32"/>
          <w:highlight w:val="none"/>
        </w:rPr>
      </w:pPr>
      <w:bookmarkStart w:id="928" w:name="_Toc430206086"/>
      <w:r>
        <w:rPr>
          <w:rFonts w:hint="eastAsia" w:ascii="宋体" w:hAnsi="宋体" w:cs="宋体"/>
          <w:b/>
          <w:bCs/>
          <w:color w:val="auto"/>
          <w:sz w:val="32"/>
          <w:szCs w:val="32"/>
          <w:highlight w:val="none"/>
        </w:rPr>
        <w:br w:type="page"/>
      </w:r>
      <w:bookmarkStart w:id="929" w:name="_Toc15723"/>
    </w:p>
    <w:p>
      <w:pPr>
        <w:tabs>
          <w:tab w:val="left" w:pos="2000"/>
          <w:tab w:val="left" w:pos="5580"/>
          <w:tab w:val="left" w:pos="6220"/>
          <w:tab w:val="left" w:pos="6840"/>
          <w:tab w:val="left" w:pos="7460"/>
          <w:tab w:val="left" w:pos="8100"/>
        </w:tabs>
        <w:autoSpaceDE w:val="0"/>
        <w:autoSpaceDN w:val="0"/>
        <w:adjustRightInd w:val="0"/>
        <w:snapToGrid w:val="0"/>
        <w:spacing w:line="360" w:lineRule="auto"/>
        <w:jc w:val="center"/>
        <w:rPr>
          <w:rFonts w:ascii="宋体" w:hAnsi="宋体" w:cs="宋体"/>
          <w:b/>
          <w:bCs/>
          <w:color w:val="auto"/>
          <w:sz w:val="32"/>
          <w:szCs w:val="32"/>
          <w:highlight w:val="none"/>
        </w:rPr>
      </w:pPr>
      <w:bookmarkStart w:id="930" w:name="_Toc20411"/>
      <w:bookmarkStart w:id="931" w:name="_Toc30375"/>
      <w:r>
        <w:rPr>
          <w:rFonts w:hint="eastAsia" w:ascii="宋体" w:hAnsi="宋体" w:cs="宋体"/>
          <w:b/>
          <w:bCs/>
          <w:color w:val="auto"/>
          <w:sz w:val="32"/>
          <w:szCs w:val="32"/>
          <w:highlight w:val="none"/>
        </w:rPr>
        <w:t>一、竞选函部分</w:t>
      </w:r>
      <w:bookmarkEnd w:id="928"/>
      <w:bookmarkEnd w:id="929"/>
      <w:bookmarkEnd w:id="930"/>
      <w:bookmarkEnd w:id="931"/>
    </w:p>
    <w:p>
      <w:pPr>
        <w:tabs>
          <w:tab w:val="left" w:pos="2845"/>
          <w:tab w:val="left" w:pos="5940"/>
        </w:tabs>
        <w:autoSpaceDE w:val="0"/>
        <w:autoSpaceDN w:val="0"/>
        <w:adjustRightInd w:val="0"/>
        <w:snapToGrid w:val="0"/>
        <w:spacing w:line="360" w:lineRule="auto"/>
        <w:jc w:val="left"/>
        <w:rPr>
          <w:rFonts w:ascii="宋体" w:hAnsi="宋体" w:cs="宋体"/>
          <w:b/>
          <w:color w:val="auto"/>
          <w:kern w:val="0"/>
          <w:sz w:val="28"/>
          <w:szCs w:val="28"/>
          <w:highlight w:val="none"/>
          <w:u w:val="single"/>
        </w:rPr>
      </w:pPr>
    </w:p>
    <w:p>
      <w:pPr>
        <w:tabs>
          <w:tab w:val="left" w:pos="6095"/>
        </w:tabs>
        <w:autoSpaceDE w:val="0"/>
        <w:autoSpaceDN w:val="0"/>
        <w:adjustRightInd w:val="0"/>
        <w:snapToGrid w:val="0"/>
        <w:spacing w:line="360" w:lineRule="auto"/>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u w:val="single"/>
        </w:rPr>
        <w:br w:type="page"/>
      </w:r>
      <w:r>
        <w:rPr>
          <w:rFonts w:hint="eastAsia" w:ascii="宋体" w:hAnsi="宋体" w:cs="宋体"/>
          <w:b/>
          <w:color w:val="auto"/>
          <w:kern w:val="0"/>
          <w:sz w:val="28"/>
          <w:szCs w:val="28"/>
          <w:highlight w:val="none"/>
          <w:u w:val="single"/>
        </w:rPr>
        <w:tab/>
      </w:r>
      <w:r>
        <w:rPr>
          <w:rFonts w:hint="eastAsia" w:ascii="宋体" w:hAnsi="宋体" w:cs="宋体"/>
          <w:b/>
          <w:color w:val="auto"/>
          <w:w w:val="99"/>
          <w:kern w:val="0"/>
          <w:sz w:val="28"/>
          <w:szCs w:val="28"/>
          <w:highlight w:val="none"/>
        </w:rPr>
        <w:t>（项目名称</w:t>
      </w:r>
      <w:r>
        <w:rPr>
          <w:rFonts w:hint="eastAsia" w:ascii="宋体" w:hAnsi="宋体" w:cs="宋体"/>
          <w:b/>
          <w:color w:val="auto"/>
          <w:spacing w:val="1"/>
          <w:w w:val="99"/>
          <w:kern w:val="0"/>
          <w:sz w:val="28"/>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宋体"/>
          <w:b/>
          <w:color w:val="auto"/>
          <w:kern w:val="0"/>
          <w:sz w:val="84"/>
          <w:szCs w:val="84"/>
          <w:highlight w:val="none"/>
        </w:rPr>
      </w:pPr>
      <w:r>
        <w:rPr>
          <w:rFonts w:hint="eastAsia" w:ascii="宋体" w:hAnsi="宋体" w:cs="宋体"/>
          <w:b/>
          <w:color w:val="auto"/>
          <w:kern w:val="0"/>
          <w:sz w:val="84"/>
          <w:szCs w:val="84"/>
          <w:highlight w:val="none"/>
        </w:rPr>
        <w:t>竞选文件</w:t>
      </w:r>
    </w:p>
    <w:p>
      <w:pPr>
        <w:autoSpaceDE w:val="0"/>
        <w:autoSpaceDN w:val="0"/>
        <w:adjustRightInd w:val="0"/>
        <w:snapToGrid w:val="0"/>
        <w:spacing w:line="360" w:lineRule="auto"/>
        <w:jc w:val="left"/>
        <w:rPr>
          <w:rFonts w:ascii="宋体" w:hAnsi="宋体" w:cs="宋体"/>
          <w:color w:val="auto"/>
          <w:kern w:val="0"/>
          <w:sz w:val="16"/>
          <w:szCs w:val="16"/>
          <w:highlight w:val="none"/>
        </w:rPr>
      </w:pPr>
    </w:p>
    <w:p>
      <w:pPr>
        <w:autoSpaceDE w:val="0"/>
        <w:autoSpaceDN w:val="0"/>
        <w:adjustRightInd w:val="0"/>
        <w:snapToGrid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竞选函部分</w:t>
      </w: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autoSpaceDE w:val="0"/>
        <w:autoSpaceDN w:val="0"/>
        <w:adjustRightInd w:val="0"/>
        <w:snapToGrid w:val="0"/>
        <w:spacing w:line="360" w:lineRule="auto"/>
        <w:jc w:val="left"/>
        <w:rPr>
          <w:rFonts w:ascii="宋体" w:hAnsi="宋体" w:cs="宋体"/>
          <w:b/>
          <w:color w:val="auto"/>
          <w:kern w:val="0"/>
          <w:sz w:val="20"/>
          <w:szCs w:val="20"/>
          <w:highlight w:val="none"/>
        </w:rPr>
      </w:pPr>
    </w:p>
    <w:p>
      <w:pPr>
        <w:tabs>
          <w:tab w:val="left" w:pos="6080"/>
          <w:tab w:val="left" w:pos="6640"/>
        </w:tabs>
        <w:autoSpaceDE w:val="0"/>
        <w:autoSpaceDN w:val="0"/>
        <w:adjustRightInd w:val="0"/>
        <w:snapToGrid w:val="0"/>
        <w:spacing w:line="360" w:lineRule="auto"/>
        <w:jc w:val="center"/>
        <w:rPr>
          <w:rFonts w:ascii="宋体" w:hAnsi="宋体" w:cs="宋体"/>
          <w:b/>
          <w:color w:val="auto"/>
          <w:w w:val="99"/>
          <w:kern w:val="0"/>
          <w:sz w:val="28"/>
          <w:szCs w:val="28"/>
          <w:highlight w:val="none"/>
        </w:rPr>
      </w:pPr>
      <w:r>
        <w:rPr>
          <w:rFonts w:hint="eastAsia" w:ascii="宋体" w:hAnsi="宋体" w:cs="宋体"/>
          <w:b/>
          <w:color w:val="auto"/>
          <w:w w:val="99"/>
          <w:kern w:val="0"/>
          <w:sz w:val="28"/>
          <w:szCs w:val="28"/>
          <w:highlight w:val="none"/>
        </w:rPr>
        <w:t>竞选人</w:t>
      </w:r>
      <w:r>
        <w:rPr>
          <w:rFonts w:hint="eastAsia" w:ascii="宋体" w:hAnsi="宋体" w:cs="宋体"/>
          <w:b/>
          <w:color w:val="auto"/>
          <w:spacing w:val="1"/>
          <w:w w:val="99"/>
          <w:kern w:val="0"/>
          <w:sz w:val="28"/>
          <w:szCs w:val="28"/>
          <w:highlight w:val="none"/>
        </w:rPr>
        <w:t>：</w:t>
      </w:r>
      <w:r>
        <w:rPr>
          <w:rFonts w:hint="eastAsia" w:ascii="宋体" w:hAnsi="宋体" w:cs="宋体"/>
          <w:b/>
          <w:color w:val="auto"/>
          <w:w w:val="198"/>
          <w:kern w:val="0"/>
          <w:sz w:val="28"/>
          <w:szCs w:val="28"/>
          <w:highlight w:val="none"/>
          <w:u w:val="single"/>
        </w:rPr>
        <w:t xml:space="preserve"> 　　　    　　</w:t>
      </w:r>
      <w:r>
        <w:rPr>
          <w:rFonts w:hint="eastAsia" w:ascii="宋体" w:hAnsi="宋体" w:cs="宋体"/>
          <w:b/>
          <w:color w:val="auto"/>
          <w:w w:val="99"/>
          <w:kern w:val="0"/>
          <w:sz w:val="28"/>
          <w:szCs w:val="28"/>
          <w:highlight w:val="none"/>
        </w:rPr>
        <w:t>（盖单位法人章）</w:t>
      </w:r>
    </w:p>
    <w:p>
      <w:pPr>
        <w:tabs>
          <w:tab w:val="left" w:pos="6080"/>
          <w:tab w:val="left" w:pos="6640"/>
        </w:tabs>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w w:val="99"/>
          <w:kern w:val="0"/>
          <w:sz w:val="28"/>
          <w:szCs w:val="28"/>
          <w:highlight w:val="none"/>
        </w:rPr>
        <w:t>法定代表人或其委托代理人：</w:t>
      </w:r>
      <w:r>
        <w:rPr>
          <w:rFonts w:hint="eastAsia" w:ascii="宋体" w:hAnsi="宋体" w:cs="宋体"/>
          <w:b/>
          <w:color w:val="auto"/>
          <w:w w:val="198"/>
          <w:kern w:val="0"/>
          <w:sz w:val="28"/>
          <w:szCs w:val="28"/>
          <w:highlight w:val="none"/>
          <w:u w:val="single"/>
        </w:rPr>
        <w:t xml:space="preserve"> 　　 　</w:t>
      </w:r>
      <w:bookmarkStart w:id="932" w:name="OLE_LINK1"/>
      <w:r>
        <w:rPr>
          <w:rFonts w:hint="eastAsia" w:ascii="宋体" w:hAnsi="宋体" w:cs="宋体"/>
          <w:b/>
          <w:color w:val="auto"/>
          <w:w w:val="99"/>
          <w:kern w:val="0"/>
          <w:sz w:val="28"/>
          <w:szCs w:val="28"/>
          <w:highlight w:val="none"/>
        </w:rPr>
        <w:t>（签字或盖章）</w:t>
      </w:r>
      <w:bookmarkEnd w:id="932"/>
    </w:p>
    <w:p>
      <w:pPr>
        <w:tabs>
          <w:tab w:val="left" w:pos="3280"/>
          <w:tab w:val="left" w:pos="4680"/>
          <w:tab w:val="left" w:pos="6080"/>
        </w:tabs>
        <w:autoSpaceDE w:val="0"/>
        <w:autoSpaceDN w:val="0"/>
        <w:adjustRightInd w:val="0"/>
        <w:snapToGrid w:val="0"/>
        <w:spacing w:line="360" w:lineRule="auto"/>
        <w:jc w:val="center"/>
        <w:rPr>
          <w:rFonts w:ascii="宋体" w:hAnsi="宋体" w:cs="宋体"/>
          <w:color w:val="auto"/>
          <w:kern w:val="0"/>
          <w:sz w:val="24"/>
          <w:szCs w:val="21"/>
          <w:highlight w:val="none"/>
        </w:rPr>
      </w:pPr>
      <w:r>
        <w:rPr>
          <w:rFonts w:hint="eastAsia" w:ascii="宋体" w:hAnsi="宋体" w:cs="宋体"/>
          <w:b/>
          <w:color w:val="auto"/>
          <w:w w:val="99"/>
          <w:kern w:val="0"/>
          <w:sz w:val="28"/>
          <w:szCs w:val="28"/>
          <w:highlight w:val="none"/>
        </w:rPr>
        <w:t>年</w:t>
      </w:r>
      <w:r>
        <w:rPr>
          <w:rFonts w:hint="eastAsia" w:ascii="宋体" w:hAnsi="宋体" w:cs="宋体"/>
          <w:b/>
          <w:color w:val="auto"/>
          <w:w w:val="99"/>
          <w:kern w:val="0"/>
          <w:sz w:val="28"/>
          <w:szCs w:val="28"/>
          <w:highlight w:val="none"/>
          <w:lang w:val="en-US" w:eastAsia="zh-CN"/>
        </w:rPr>
        <w:t xml:space="preserve"> </w:t>
      </w:r>
      <w:r>
        <w:rPr>
          <w:rFonts w:hint="eastAsia" w:ascii="宋体" w:hAnsi="宋体" w:cs="宋体"/>
          <w:b/>
          <w:color w:val="auto"/>
          <w:w w:val="99"/>
          <w:kern w:val="0"/>
          <w:sz w:val="28"/>
          <w:szCs w:val="28"/>
          <w:highlight w:val="none"/>
        </w:rPr>
        <w:t>月</w:t>
      </w:r>
      <w:r>
        <w:rPr>
          <w:rFonts w:hint="eastAsia" w:ascii="宋体" w:hAnsi="宋体" w:cs="宋体"/>
          <w:b/>
          <w:color w:val="auto"/>
          <w:w w:val="99"/>
          <w:kern w:val="0"/>
          <w:sz w:val="28"/>
          <w:szCs w:val="28"/>
          <w:highlight w:val="none"/>
          <w:lang w:val="en-US" w:eastAsia="zh-CN"/>
        </w:rPr>
        <w:t xml:space="preserve"> </w:t>
      </w:r>
      <w:r>
        <w:rPr>
          <w:rFonts w:hint="eastAsia" w:ascii="宋体" w:hAnsi="宋体" w:cs="宋体"/>
          <w:b/>
          <w:color w:val="auto"/>
          <w:w w:val="99"/>
          <w:kern w:val="0"/>
          <w:sz w:val="28"/>
          <w:szCs w:val="28"/>
          <w:highlight w:val="none"/>
        </w:rPr>
        <w:t>日</w:t>
      </w:r>
    </w:p>
    <w:p>
      <w:pPr>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目     录</w:t>
      </w:r>
    </w:p>
    <w:p>
      <w:pPr>
        <w:autoSpaceDE w:val="0"/>
        <w:autoSpaceDN w:val="0"/>
        <w:adjustRightInd w:val="0"/>
        <w:snapToGrid w:val="0"/>
        <w:spacing w:line="360" w:lineRule="auto"/>
        <w:jc w:val="left"/>
        <w:rPr>
          <w:rFonts w:ascii="宋体" w:hAnsi="宋体" w:cs="宋体"/>
          <w:color w:val="auto"/>
          <w:kern w:val="0"/>
          <w:sz w:val="24"/>
          <w:szCs w:val="21"/>
          <w:highlight w:val="none"/>
        </w:rPr>
      </w:pPr>
    </w:p>
    <w:p>
      <w:pPr>
        <w:autoSpaceDE w:val="0"/>
        <w:autoSpaceDN w:val="0"/>
        <w:adjustRightInd w:val="0"/>
        <w:spacing w:line="360" w:lineRule="auto"/>
        <w:ind w:right="-20"/>
        <w:jc w:val="left"/>
        <w:rPr>
          <w:rFonts w:ascii="宋体" w:hAnsi="宋体" w:cs="宋体"/>
          <w:color w:val="auto"/>
          <w:kern w:val="0"/>
          <w:sz w:val="24"/>
          <w:highlight w:val="none"/>
        </w:rPr>
      </w:pPr>
      <w:r>
        <w:rPr>
          <w:rFonts w:hint="eastAsia" w:ascii="宋体" w:hAnsi="宋体" w:cs="宋体"/>
          <w:color w:val="auto"/>
          <w:kern w:val="0"/>
          <w:sz w:val="24"/>
          <w:highlight w:val="none"/>
        </w:rPr>
        <w:t>（一）竞选函</w:t>
      </w:r>
    </w:p>
    <w:p>
      <w:pPr>
        <w:autoSpaceDE w:val="0"/>
        <w:autoSpaceDN w:val="0"/>
        <w:adjustRightInd w:val="0"/>
        <w:spacing w:line="360" w:lineRule="auto"/>
        <w:ind w:left="360" w:right="-20" w:hanging="360" w:hangingChars="150"/>
        <w:rPr>
          <w:rFonts w:ascii="宋体" w:hAnsi="宋体" w:cs="宋体"/>
          <w:color w:val="auto"/>
          <w:kern w:val="0"/>
          <w:sz w:val="24"/>
          <w:highlight w:val="none"/>
        </w:rPr>
      </w:pPr>
      <w:r>
        <w:rPr>
          <w:rFonts w:hint="eastAsia" w:ascii="宋体" w:hAnsi="宋体" w:cs="宋体"/>
          <w:color w:val="auto"/>
          <w:kern w:val="0"/>
          <w:sz w:val="24"/>
          <w:highlight w:val="none"/>
        </w:rPr>
        <w:t>（二）</w:t>
      </w:r>
      <w:r>
        <w:rPr>
          <w:rFonts w:hint="eastAsia" w:ascii="宋体" w:hAnsi="宋体" w:cs="宋体"/>
          <w:color w:val="auto"/>
          <w:sz w:val="24"/>
          <w:highlight w:val="none"/>
        </w:rPr>
        <w:t>法定代表人身份证明、授权委托书及项目经理委任书</w:t>
      </w: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autoSpaceDE w:val="0"/>
        <w:autoSpaceDN w:val="0"/>
        <w:adjustRightInd w:val="0"/>
        <w:spacing w:line="360" w:lineRule="auto"/>
        <w:ind w:right="-20"/>
        <w:rPr>
          <w:rFonts w:ascii="宋体" w:hAnsi="宋体" w:cs="宋体"/>
          <w:color w:val="auto"/>
          <w:kern w:val="0"/>
          <w:sz w:val="24"/>
          <w:highlight w:val="none"/>
        </w:rPr>
      </w:pPr>
    </w:p>
    <w:p>
      <w:pPr>
        <w:autoSpaceDE w:val="0"/>
        <w:autoSpaceDN w:val="0"/>
        <w:adjustRightInd w:val="0"/>
        <w:spacing w:line="360" w:lineRule="auto"/>
        <w:ind w:right="-23"/>
        <w:jc w:val="center"/>
        <w:outlineLvl w:val="2"/>
        <w:rPr>
          <w:rFonts w:ascii="宋体" w:hAnsi="宋体" w:cs="宋体"/>
          <w:b/>
          <w:bCs/>
          <w:color w:val="auto"/>
          <w:sz w:val="32"/>
          <w:szCs w:val="32"/>
          <w:highlight w:val="none"/>
        </w:rPr>
      </w:pPr>
      <w:bookmarkStart w:id="933" w:name="_Toc430206087"/>
      <w:r>
        <w:rPr>
          <w:rFonts w:hint="eastAsia" w:ascii="宋体" w:hAnsi="宋体" w:cs="宋体"/>
          <w:b/>
          <w:bCs/>
          <w:color w:val="auto"/>
          <w:sz w:val="32"/>
          <w:szCs w:val="32"/>
          <w:highlight w:val="none"/>
        </w:rPr>
        <w:t>（一）</w:t>
      </w:r>
      <w:bookmarkEnd w:id="933"/>
      <w:r>
        <w:rPr>
          <w:rFonts w:hint="eastAsia" w:ascii="宋体" w:hAnsi="宋体" w:cs="宋体"/>
          <w:b/>
          <w:bCs/>
          <w:color w:val="auto"/>
          <w:sz w:val="32"/>
          <w:szCs w:val="32"/>
          <w:highlight w:val="none"/>
        </w:rPr>
        <w:t>竞选函</w:t>
      </w:r>
    </w:p>
    <w:p>
      <w:pPr>
        <w:autoSpaceDE w:val="0"/>
        <w:autoSpaceDN w:val="0"/>
        <w:adjustRightInd w:val="0"/>
        <w:spacing w:line="360" w:lineRule="auto"/>
        <w:ind w:left="360" w:right="-20" w:hanging="360" w:hangingChars="150"/>
        <w:rPr>
          <w:rFonts w:ascii="宋体" w:hAnsi="宋体" w:cs="宋体"/>
          <w:color w:val="auto"/>
          <w:kern w:val="0"/>
          <w:sz w:val="24"/>
          <w:highlight w:val="none"/>
        </w:rPr>
      </w:pPr>
    </w:p>
    <w:p>
      <w:pPr>
        <w:spacing w:line="500" w:lineRule="atLeast"/>
        <w:rPr>
          <w:rFonts w:ascii="宋体" w:hAnsi="宋体" w:cs="宋体"/>
          <w:bCs/>
          <w:color w:val="auto"/>
          <w:szCs w:val="21"/>
          <w:highlight w:val="none"/>
          <w:u w:val="single"/>
        </w:rPr>
      </w:pPr>
      <w:bookmarkStart w:id="934" w:name="_Toc224103496"/>
      <w:r>
        <w:rPr>
          <w:rFonts w:hint="eastAsia" w:ascii="宋体" w:hAnsi="宋体" w:cs="宋体"/>
          <w:b/>
          <w:bCs/>
          <w:color w:val="auto"/>
          <w:szCs w:val="21"/>
          <w:highlight w:val="none"/>
        </w:rPr>
        <w:t>致：</w:t>
      </w:r>
      <w:r>
        <w:rPr>
          <w:rFonts w:hint="eastAsia" w:ascii="宋体" w:hAnsi="宋体" w:cs="宋体"/>
          <w:b/>
          <w:color w:val="auto"/>
          <w:szCs w:val="21"/>
          <w:highlight w:val="none"/>
          <w:u w:val="single"/>
        </w:rPr>
        <w:t xml:space="preserve">    （比选人）              </w:t>
      </w:r>
    </w:p>
    <w:p>
      <w:pPr>
        <w:rPr>
          <w:rFonts w:ascii="宋体" w:hAnsi="宋体" w:cs="宋体"/>
          <w:bCs/>
          <w:color w:val="auto"/>
          <w:szCs w:val="21"/>
          <w:highlight w:val="none"/>
        </w:rPr>
      </w:pPr>
      <w:bookmarkStart w:id="935" w:name="_Toc362508706"/>
      <w:bookmarkStart w:id="936" w:name="_Toc364781347"/>
      <w:bookmarkStart w:id="937" w:name="_Toc277082644"/>
      <w:bookmarkStart w:id="938" w:name="_Toc360434956"/>
      <w:bookmarkStart w:id="939" w:name="_Toc287607868"/>
    </w:p>
    <w:p>
      <w:pPr>
        <w:tabs>
          <w:tab w:val="left" w:pos="2445"/>
          <w:tab w:val="left" w:pos="3520"/>
          <w:tab w:val="left" w:pos="4920"/>
          <w:tab w:val="left" w:pos="5715"/>
          <w:tab w:val="left" w:pos="6945"/>
          <w:tab w:val="left" w:pos="7770"/>
        </w:tabs>
        <w:autoSpaceDE w:val="0"/>
        <w:autoSpaceDN w:val="0"/>
        <w:adjustRightInd w:val="0"/>
        <w:spacing w:line="354" w:lineRule="auto"/>
        <w:ind w:left="120" w:leftChars="57" w:right="94"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1．我方已仔细研究了</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（项目名称）</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比选文件的全部内容，愿意以人民币（大写）</w:t>
      </w:r>
      <w:r>
        <w:rPr>
          <w:rFonts w:hint="eastAsia" w:ascii="宋体" w:hAnsi="宋体" w:cs="宋体"/>
          <w:b/>
          <w:bCs/>
          <w:snapToGrid w:val="0"/>
          <w:color w:val="auto"/>
          <w:kern w:val="0"/>
          <w:szCs w:val="21"/>
          <w:highlight w:val="none"/>
          <w:u w:val="single"/>
        </w:rPr>
        <w:tab/>
      </w:r>
      <w:r>
        <w:rPr>
          <w:rFonts w:hint="eastAsia" w:ascii="宋体" w:hAnsi="宋体" w:cs="宋体"/>
          <w:b/>
          <w:bCs/>
          <w:snapToGrid w:val="0"/>
          <w:color w:val="auto"/>
          <w:kern w:val="0"/>
          <w:szCs w:val="21"/>
          <w:highlight w:val="none"/>
        </w:rPr>
        <w:t xml:space="preserve"> （¥</w:t>
      </w:r>
      <w:r>
        <w:rPr>
          <w:rFonts w:hint="eastAsia" w:ascii="宋体" w:hAnsi="宋体" w:cs="宋体"/>
          <w:b/>
          <w:bCs/>
          <w:snapToGrid w:val="0"/>
          <w:color w:val="auto"/>
          <w:kern w:val="0"/>
          <w:szCs w:val="21"/>
          <w:highlight w:val="none"/>
          <w:u w:val="single"/>
        </w:rPr>
        <w:tab/>
      </w:r>
      <w:r>
        <w:rPr>
          <w:rFonts w:hint="eastAsia" w:ascii="宋体" w:hAnsi="宋体" w:cs="宋体"/>
          <w:snapToGrid w:val="0"/>
          <w:color w:val="auto"/>
          <w:kern w:val="0"/>
          <w:szCs w:val="21"/>
          <w:highlight w:val="none"/>
        </w:rPr>
        <w:t>）的竞选总报价（</w:t>
      </w:r>
      <w:r>
        <w:rPr>
          <w:rFonts w:hint="eastAsia" w:ascii="宋体" w:hAnsi="宋体" w:cs="宋体"/>
          <w:color w:val="auto"/>
          <w:szCs w:val="21"/>
          <w:highlight w:val="none"/>
        </w:rPr>
        <w:t>其中安全文明施工费暂定金额为</w:t>
      </w:r>
      <w:r>
        <w:rPr>
          <w:rFonts w:hint="eastAsia" w:ascii="宋体" w:hAnsi="宋体" w:cs="宋体"/>
          <w:b/>
          <w:bCs/>
          <w:color w:val="auto"/>
          <w:szCs w:val="21"/>
          <w:highlight w:val="none"/>
        </w:rPr>
        <w:t>¥</w:t>
      </w:r>
      <w:r>
        <w:rPr>
          <w:rFonts w:hint="eastAsia" w:ascii="宋体" w:hAnsi="宋体" w:cs="宋体"/>
          <w:b/>
          <w:bCs/>
          <w:snapToGrid w:val="0"/>
          <w:color w:val="auto"/>
          <w:kern w:val="0"/>
          <w:szCs w:val="21"/>
          <w:highlight w:val="none"/>
          <w:u w:val="single"/>
        </w:rPr>
        <w:tab/>
      </w:r>
      <w:r>
        <w:rPr>
          <w:rFonts w:hint="eastAsia" w:ascii="宋体" w:hAnsi="宋体" w:cs="宋体"/>
          <w:b/>
          <w:bCs/>
          <w:snapToGrid w:val="0"/>
          <w:color w:val="auto"/>
          <w:kern w:val="0"/>
          <w:szCs w:val="21"/>
          <w:highlight w:val="none"/>
          <w:u w:val="single"/>
        </w:rPr>
        <w:t xml:space="preserve">   </w:t>
      </w:r>
      <w:r>
        <w:rPr>
          <w:rFonts w:hint="eastAsia" w:ascii="宋体" w:hAnsi="宋体" w:cs="宋体"/>
          <w:snapToGrid w:val="0"/>
          <w:color w:val="auto"/>
          <w:kern w:val="0"/>
          <w:szCs w:val="21"/>
          <w:highlight w:val="none"/>
        </w:rPr>
        <w:t>），按合同约定实施和完成承包工程，修补工程中的任何缺陷。</w:t>
      </w:r>
      <w:r>
        <w:rPr>
          <w:rFonts w:hint="eastAsia" w:ascii="宋体" w:hAnsi="宋体" w:cs="宋体"/>
          <w:color w:val="auto"/>
          <w:szCs w:val="21"/>
          <w:highlight w:val="none"/>
        </w:rPr>
        <w:t>该工程项目经理为</w:t>
      </w:r>
      <w:r>
        <w:rPr>
          <w:rFonts w:hint="eastAsia" w:ascii="宋体" w:hAnsi="宋体" w:cs="宋体"/>
          <w:b/>
          <w:bCs/>
          <w:snapToGrid w:val="0"/>
          <w:color w:val="auto"/>
          <w:kern w:val="0"/>
          <w:szCs w:val="21"/>
          <w:highlight w:val="none"/>
          <w:u w:val="single"/>
        </w:rPr>
        <w:tab/>
      </w:r>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工期</w:t>
      </w:r>
      <w:r>
        <w:rPr>
          <w:rFonts w:hint="eastAsia" w:ascii="宋体" w:hAnsi="宋体" w:cs="宋体"/>
          <w:b/>
          <w:bCs/>
          <w:snapToGrid w:val="0"/>
          <w:color w:val="auto"/>
          <w:kern w:val="0"/>
          <w:szCs w:val="21"/>
          <w:highlight w:val="none"/>
          <w:u w:val="single"/>
        </w:rPr>
        <w:tab/>
      </w:r>
      <w:r>
        <w:rPr>
          <w:rFonts w:hint="eastAsia" w:ascii="宋体" w:hAnsi="宋体" w:cs="宋体"/>
          <w:snapToGrid w:val="0"/>
          <w:color w:val="auto"/>
          <w:kern w:val="0"/>
          <w:szCs w:val="21"/>
          <w:highlight w:val="none"/>
        </w:rPr>
        <w:t>日历天，工程质量达到</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 xml:space="preserve"> 。</w:t>
      </w:r>
    </w:p>
    <w:p>
      <w:pPr>
        <w:autoSpaceDE w:val="0"/>
        <w:autoSpaceDN w:val="0"/>
        <w:adjustRightInd w:val="0"/>
        <w:spacing w:before="15"/>
        <w:ind w:left="540" w:right="-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2．我方承诺在比选申请有效期内不修改、撤销竞选文件。</w:t>
      </w:r>
    </w:p>
    <w:p>
      <w:pPr>
        <w:autoSpaceDE w:val="0"/>
        <w:autoSpaceDN w:val="0"/>
        <w:adjustRightInd w:val="0"/>
        <w:spacing w:before="10" w:line="100" w:lineRule="exact"/>
        <w:jc w:val="left"/>
        <w:rPr>
          <w:rFonts w:ascii="宋体" w:hAnsi="宋体" w:cs="宋体"/>
          <w:snapToGrid w:val="0"/>
          <w:color w:val="auto"/>
          <w:kern w:val="0"/>
          <w:sz w:val="10"/>
          <w:szCs w:val="10"/>
          <w:highlight w:val="none"/>
        </w:rPr>
      </w:pPr>
    </w:p>
    <w:p>
      <w:pPr>
        <w:tabs>
          <w:tab w:val="left" w:pos="2730"/>
          <w:tab w:val="left" w:pos="8190"/>
        </w:tabs>
        <w:autoSpaceDE w:val="0"/>
        <w:autoSpaceDN w:val="0"/>
        <w:adjustRightInd w:val="0"/>
        <w:ind w:right="-119" w:firstLine="539" w:firstLineChars="257"/>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3．随同本竞选函提交比选保证金一份，金额为人民币（大写）（</w:t>
      </w:r>
      <w:r>
        <w:rPr>
          <w:rFonts w:hint="eastAsia" w:ascii="宋体" w:hAnsi="宋体" w:cs="宋体"/>
          <w:b/>
          <w:bCs/>
          <w:snapToGrid w:val="0"/>
          <w:color w:val="auto"/>
          <w:kern w:val="0"/>
          <w:szCs w:val="21"/>
          <w:highlight w:val="none"/>
        </w:rPr>
        <w:t>¥</w:t>
      </w:r>
      <w:r>
        <w:rPr>
          <w:rFonts w:hint="eastAsia" w:ascii="宋体" w:hAnsi="宋体" w:cs="宋体"/>
          <w:b/>
          <w:bCs/>
          <w:snapToGrid w:val="0"/>
          <w:color w:val="auto"/>
          <w:kern w:val="0"/>
          <w:szCs w:val="21"/>
          <w:highlight w:val="none"/>
          <w:u w:val="single"/>
        </w:rPr>
        <w:tab/>
      </w:r>
      <w:r>
        <w:rPr>
          <w:rFonts w:hint="eastAsia" w:ascii="宋体" w:hAnsi="宋体" w:cs="宋体"/>
          <w:snapToGrid w:val="0"/>
          <w:color w:val="auto"/>
          <w:kern w:val="0"/>
          <w:szCs w:val="21"/>
          <w:highlight w:val="none"/>
        </w:rPr>
        <w:t xml:space="preserve"> ）。</w:t>
      </w:r>
    </w:p>
    <w:p>
      <w:pPr>
        <w:autoSpaceDE w:val="0"/>
        <w:autoSpaceDN w:val="0"/>
        <w:adjustRightInd w:val="0"/>
        <w:spacing w:before="11" w:line="100" w:lineRule="exact"/>
        <w:jc w:val="left"/>
        <w:rPr>
          <w:rFonts w:ascii="宋体" w:hAnsi="宋体" w:cs="宋体"/>
          <w:snapToGrid w:val="0"/>
          <w:color w:val="auto"/>
          <w:kern w:val="0"/>
          <w:sz w:val="10"/>
          <w:szCs w:val="10"/>
          <w:highlight w:val="none"/>
        </w:rPr>
      </w:pPr>
    </w:p>
    <w:p>
      <w:pPr>
        <w:numPr>
          <w:ilvl w:val="0"/>
          <w:numId w:val="8"/>
        </w:numPr>
        <w:autoSpaceDE w:val="0"/>
        <w:autoSpaceDN w:val="0"/>
        <w:adjustRightInd w:val="0"/>
        <w:ind w:left="540" w:right="-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如我方中选：</w:t>
      </w:r>
    </w:p>
    <w:p>
      <w:pPr>
        <w:autoSpaceDE w:val="0"/>
        <w:autoSpaceDN w:val="0"/>
        <w:adjustRightInd w:val="0"/>
        <w:ind w:left="838" w:right="-8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（1）我方承诺在收到中选通知书后，在中选通知书规定的期限内与你方签订合同。</w:t>
      </w:r>
    </w:p>
    <w:p>
      <w:pPr>
        <w:autoSpaceDE w:val="0"/>
        <w:autoSpaceDN w:val="0"/>
        <w:adjustRightInd w:val="0"/>
        <w:spacing w:before="11" w:line="100" w:lineRule="exact"/>
        <w:jc w:val="left"/>
        <w:rPr>
          <w:rFonts w:ascii="宋体" w:hAnsi="宋体" w:cs="宋体"/>
          <w:snapToGrid w:val="0"/>
          <w:color w:val="auto"/>
          <w:sz w:val="10"/>
          <w:szCs w:val="10"/>
          <w:highlight w:val="none"/>
        </w:rPr>
      </w:pPr>
    </w:p>
    <w:p>
      <w:pPr>
        <w:autoSpaceDE w:val="0"/>
        <w:autoSpaceDN w:val="0"/>
        <w:adjustRightInd w:val="0"/>
        <w:ind w:left="838"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（2）我方承诺在合同约定的期限内完成并移交全部合同工程。</w:t>
      </w:r>
    </w:p>
    <w:p>
      <w:pPr>
        <w:autoSpaceDE w:val="0"/>
        <w:autoSpaceDN w:val="0"/>
        <w:adjustRightInd w:val="0"/>
        <w:spacing w:before="10" w:line="100" w:lineRule="exact"/>
        <w:jc w:val="left"/>
        <w:rPr>
          <w:rFonts w:ascii="宋体" w:hAnsi="宋体" w:cs="宋体"/>
          <w:snapToGrid w:val="0"/>
          <w:color w:val="auto"/>
          <w:sz w:val="10"/>
          <w:szCs w:val="10"/>
          <w:highlight w:val="none"/>
        </w:rPr>
      </w:pPr>
    </w:p>
    <w:p>
      <w:pPr>
        <w:autoSpaceDE w:val="0"/>
        <w:autoSpaceDN w:val="0"/>
        <w:adjustRightInd w:val="0"/>
        <w:spacing w:line="354" w:lineRule="auto"/>
        <w:ind w:left="120" w:right="-9" w:firstLine="4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5．我方在此声明，所递交的竞选文件及有关资料内容完整、真实和准确，且不存在第二章“竞选人须知”第 1.4.3 项规定的任何一种情形。同时我方承诺接受比选文件及附件、答疑及补遗通知中所有的内容。</w:t>
      </w:r>
    </w:p>
    <w:p>
      <w:pPr>
        <w:tabs>
          <w:tab w:val="left" w:pos="4940"/>
        </w:tabs>
        <w:autoSpaceDE w:val="0"/>
        <w:autoSpaceDN w:val="0"/>
        <w:adjustRightInd w:val="0"/>
        <w:ind w:left="540"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6．</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（其他补充说明）。</w:t>
      </w:r>
    </w:p>
    <w:p>
      <w:pPr>
        <w:tabs>
          <w:tab w:val="left" w:pos="7140"/>
          <w:tab w:val="left" w:pos="7560"/>
          <w:tab w:val="left" w:pos="8300"/>
        </w:tabs>
        <w:autoSpaceDE w:val="0"/>
        <w:autoSpaceDN w:val="0"/>
        <w:adjustRightInd w:val="0"/>
        <w:spacing w:line="370" w:lineRule="auto"/>
        <w:ind w:right="210" w:firstLine="1984" w:firstLineChars="945"/>
        <w:rPr>
          <w:rFonts w:ascii="宋体" w:hAnsi="宋体" w:cs="宋体"/>
          <w:snapToGrid w:val="0"/>
          <w:color w:val="auto"/>
          <w:kern w:val="0"/>
          <w:szCs w:val="21"/>
          <w:highlight w:val="none"/>
        </w:rPr>
      </w:pPr>
    </w:p>
    <w:p>
      <w:pPr>
        <w:tabs>
          <w:tab w:val="left" w:pos="7140"/>
          <w:tab w:val="left" w:pos="7560"/>
          <w:tab w:val="left" w:pos="8300"/>
        </w:tabs>
        <w:autoSpaceDE w:val="0"/>
        <w:autoSpaceDN w:val="0"/>
        <w:adjustRightInd w:val="0"/>
        <w:spacing w:line="370" w:lineRule="auto"/>
        <w:ind w:right="210" w:firstLine="1984" w:firstLineChars="945"/>
        <w:rPr>
          <w:rFonts w:ascii="宋体" w:hAnsi="宋体" w:cs="宋体"/>
          <w:snapToGrid w:val="0"/>
          <w:color w:val="auto"/>
          <w:kern w:val="0"/>
          <w:szCs w:val="21"/>
          <w:highlight w:val="none"/>
        </w:rPr>
      </w:pPr>
    </w:p>
    <w:p>
      <w:pPr>
        <w:tabs>
          <w:tab w:val="left" w:pos="7140"/>
          <w:tab w:val="left" w:pos="7560"/>
          <w:tab w:val="left" w:pos="8300"/>
        </w:tabs>
        <w:autoSpaceDE w:val="0"/>
        <w:autoSpaceDN w:val="0"/>
        <w:adjustRightInd w:val="0"/>
        <w:spacing w:line="370" w:lineRule="auto"/>
        <w:ind w:right="210" w:firstLine="1984" w:firstLineChars="945"/>
        <w:rPr>
          <w:rFonts w:ascii="宋体" w:hAnsi="宋体" w:cs="宋体"/>
          <w:snapToGrid w:val="0"/>
          <w:color w:val="auto"/>
          <w:kern w:val="0"/>
          <w:szCs w:val="21"/>
          <w:highlight w:val="none"/>
        </w:rPr>
      </w:pPr>
    </w:p>
    <w:p>
      <w:pPr>
        <w:tabs>
          <w:tab w:val="left" w:pos="7140"/>
          <w:tab w:val="left" w:pos="7560"/>
          <w:tab w:val="left" w:pos="8300"/>
        </w:tabs>
        <w:autoSpaceDE w:val="0"/>
        <w:autoSpaceDN w:val="0"/>
        <w:adjustRightInd w:val="0"/>
        <w:spacing w:line="370" w:lineRule="auto"/>
        <w:ind w:right="210" w:firstLine="1984" w:firstLineChars="945"/>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（盖单位法人章） </w:t>
      </w:r>
    </w:p>
    <w:p>
      <w:pPr>
        <w:tabs>
          <w:tab w:val="left" w:pos="7035"/>
          <w:tab w:val="left" w:pos="7560"/>
          <w:tab w:val="left" w:pos="8300"/>
        </w:tabs>
        <w:autoSpaceDE w:val="0"/>
        <w:autoSpaceDN w:val="0"/>
        <w:adjustRightInd w:val="0"/>
        <w:spacing w:line="370" w:lineRule="auto"/>
        <w:ind w:right="210" w:firstLine="1995" w:firstLineChars="9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 xml:space="preserve">（签字或盖章） </w:t>
      </w:r>
    </w:p>
    <w:p>
      <w:pPr>
        <w:tabs>
          <w:tab w:val="left" w:pos="7035"/>
          <w:tab w:val="left" w:pos="7560"/>
          <w:tab w:val="left" w:pos="8300"/>
        </w:tabs>
        <w:autoSpaceDE w:val="0"/>
        <w:autoSpaceDN w:val="0"/>
        <w:adjustRightInd w:val="0"/>
        <w:spacing w:line="370" w:lineRule="auto"/>
        <w:ind w:right="210" w:firstLine="1984" w:firstLineChars="945"/>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ascii="宋体" w:hAnsi="宋体" w:cs="宋体"/>
          <w:snapToGrid w:val="0"/>
          <w:color w:val="auto"/>
          <w:kern w:val="0"/>
          <w:szCs w:val="21"/>
          <w:highlight w:val="none"/>
          <w:u w:val="single"/>
        </w:rPr>
        <w:tab/>
      </w:r>
    </w:p>
    <w:p>
      <w:pPr>
        <w:tabs>
          <w:tab w:val="left" w:pos="8300"/>
        </w:tabs>
        <w:autoSpaceDE w:val="0"/>
        <w:autoSpaceDN w:val="0"/>
        <w:adjustRightInd w:val="0"/>
        <w:spacing w:before="1"/>
        <w:ind w:left="1985" w:right="-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网址：</w:t>
      </w:r>
      <w:r>
        <w:rPr>
          <w:rFonts w:hint="eastAsia" w:ascii="宋体" w:hAnsi="宋体" w:cs="宋体"/>
          <w:snapToGrid w:val="0"/>
          <w:color w:val="auto"/>
          <w:kern w:val="0"/>
          <w:szCs w:val="21"/>
          <w:highlight w:val="none"/>
          <w:u w:val="single"/>
        </w:rPr>
        <w:t>　　　　　　　　　　　　　　　　　　　　</w:t>
      </w:r>
    </w:p>
    <w:p>
      <w:pPr>
        <w:autoSpaceDE w:val="0"/>
        <w:autoSpaceDN w:val="0"/>
        <w:adjustRightInd w:val="0"/>
        <w:spacing w:before="14" w:line="200" w:lineRule="exact"/>
        <w:jc w:val="left"/>
        <w:rPr>
          <w:rFonts w:ascii="宋体" w:hAnsi="宋体" w:cs="宋体"/>
          <w:snapToGrid w:val="0"/>
          <w:color w:val="auto"/>
          <w:kern w:val="0"/>
          <w:sz w:val="20"/>
          <w:szCs w:val="20"/>
          <w:highlight w:val="none"/>
        </w:rPr>
      </w:pPr>
    </w:p>
    <w:p>
      <w:pPr>
        <w:tabs>
          <w:tab w:val="left" w:pos="8300"/>
        </w:tabs>
        <w:autoSpaceDE w:val="0"/>
        <w:autoSpaceDN w:val="0"/>
        <w:adjustRightInd w:val="0"/>
        <w:spacing w:line="220" w:lineRule="exact"/>
        <w:ind w:left="1985" w:right="-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r>
        <w:rPr>
          <w:rFonts w:hint="eastAsia" w:ascii="宋体" w:hAnsi="宋体" w:cs="宋体"/>
          <w:snapToGrid w:val="0"/>
          <w:color w:val="auto"/>
          <w:kern w:val="0"/>
          <w:szCs w:val="21"/>
          <w:highlight w:val="none"/>
          <w:u w:val="single"/>
        </w:rPr>
        <w:t>　　　　　　　　　　　　　　　　　　　　</w:t>
      </w:r>
    </w:p>
    <w:p>
      <w:pPr>
        <w:autoSpaceDE w:val="0"/>
        <w:autoSpaceDN w:val="0"/>
        <w:adjustRightInd w:val="0"/>
        <w:spacing w:before="13" w:line="200" w:lineRule="exact"/>
        <w:jc w:val="left"/>
        <w:rPr>
          <w:rFonts w:ascii="宋体" w:hAnsi="宋体" w:cs="宋体"/>
          <w:snapToGrid w:val="0"/>
          <w:color w:val="auto"/>
          <w:kern w:val="0"/>
          <w:sz w:val="20"/>
          <w:szCs w:val="20"/>
          <w:highlight w:val="none"/>
        </w:rPr>
      </w:pPr>
    </w:p>
    <w:p>
      <w:pPr>
        <w:tabs>
          <w:tab w:val="left" w:pos="8300"/>
        </w:tabs>
        <w:autoSpaceDE w:val="0"/>
        <w:autoSpaceDN w:val="0"/>
        <w:adjustRightInd w:val="0"/>
        <w:spacing w:line="220" w:lineRule="exact"/>
        <w:ind w:left="1985" w:right="-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传真：</w:t>
      </w:r>
      <w:r>
        <w:rPr>
          <w:rFonts w:hint="eastAsia" w:ascii="宋体" w:hAnsi="宋体" w:cs="宋体"/>
          <w:snapToGrid w:val="0"/>
          <w:color w:val="auto"/>
          <w:kern w:val="0"/>
          <w:szCs w:val="21"/>
          <w:highlight w:val="none"/>
          <w:u w:val="single"/>
        </w:rPr>
        <w:t>　　　　　　　　　　　　　　　　　　　　</w:t>
      </w:r>
    </w:p>
    <w:p>
      <w:pPr>
        <w:tabs>
          <w:tab w:val="left" w:pos="8300"/>
        </w:tabs>
        <w:autoSpaceDE w:val="0"/>
        <w:autoSpaceDN w:val="0"/>
        <w:adjustRightInd w:val="0"/>
        <w:spacing w:line="220" w:lineRule="exact"/>
        <w:ind w:left="3796" w:right="-20"/>
        <w:jc w:val="left"/>
        <w:rPr>
          <w:rFonts w:ascii="宋体" w:hAnsi="宋体" w:cs="宋体"/>
          <w:snapToGrid w:val="0"/>
          <w:color w:val="auto"/>
          <w:kern w:val="0"/>
          <w:szCs w:val="21"/>
          <w:highlight w:val="none"/>
        </w:rPr>
      </w:pPr>
    </w:p>
    <w:p>
      <w:pPr>
        <w:tabs>
          <w:tab w:val="left" w:pos="8300"/>
        </w:tabs>
        <w:autoSpaceDE w:val="0"/>
        <w:autoSpaceDN w:val="0"/>
        <w:adjustRightInd w:val="0"/>
        <w:spacing w:line="220" w:lineRule="exact"/>
        <w:ind w:left="1985" w:right="-20"/>
        <w:jc w:val="left"/>
        <w:rPr>
          <w:rFonts w:ascii="宋体" w:hAnsi="宋体" w:cs="宋体"/>
          <w:snapToGrid w:val="0"/>
          <w:color w:val="auto"/>
          <w:kern w:val="0"/>
          <w:sz w:val="20"/>
          <w:szCs w:val="20"/>
          <w:highlight w:val="none"/>
        </w:rPr>
      </w:pPr>
      <w:r>
        <w:rPr>
          <w:rFonts w:hint="eastAsia" w:ascii="宋体" w:hAnsi="宋体" w:cs="宋体"/>
          <w:snapToGrid w:val="0"/>
          <w:color w:val="auto"/>
          <w:kern w:val="0"/>
          <w:szCs w:val="21"/>
          <w:highlight w:val="none"/>
        </w:rPr>
        <w:t>邮政编码：</w:t>
      </w:r>
      <w:r>
        <w:rPr>
          <w:rFonts w:hint="eastAsia" w:ascii="宋体" w:hAnsi="宋体" w:cs="宋体"/>
          <w:snapToGrid w:val="0"/>
          <w:color w:val="auto"/>
          <w:w w:val="200"/>
          <w:kern w:val="0"/>
          <w:szCs w:val="21"/>
          <w:highlight w:val="none"/>
          <w:u w:val="single"/>
        </w:rPr>
        <w:t xml:space="preserve"> 　　　　　　　　　</w:t>
      </w:r>
    </w:p>
    <w:p>
      <w:pPr>
        <w:autoSpaceDE w:val="0"/>
        <w:autoSpaceDN w:val="0"/>
        <w:adjustRightInd w:val="0"/>
        <w:spacing w:line="200" w:lineRule="exact"/>
        <w:jc w:val="left"/>
        <w:rPr>
          <w:rFonts w:ascii="宋体" w:hAnsi="宋体" w:cs="宋体"/>
          <w:snapToGrid w:val="0"/>
          <w:color w:val="auto"/>
          <w:kern w:val="0"/>
          <w:sz w:val="20"/>
          <w:szCs w:val="20"/>
          <w:highlight w:val="none"/>
        </w:rPr>
      </w:pPr>
    </w:p>
    <w:p>
      <w:pPr>
        <w:autoSpaceDE w:val="0"/>
        <w:autoSpaceDN w:val="0"/>
        <w:adjustRightInd w:val="0"/>
        <w:spacing w:before="14" w:line="240" w:lineRule="exact"/>
        <w:jc w:val="left"/>
        <w:rPr>
          <w:rFonts w:ascii="宋体" w:hAnsi="宋体" w:cs="宋体"/>
          <w:snapToGrid w:val="0"/>
          <w:color w:val="auto"/>
          <w:kern w:val="0"/>
          <w:sz w:val="24"/>
          <w:highlight w:val="none"/>
        </w:rPr>
      </w:pPr>
    </w:p>
    <w:bookmarkEnd w:id="934"/>
    <w:bookmarkEnd w:id="935"/>
    <w:bookmarkEnd w:id="936"/>
    <w:bookmarkEnd w:id="937"/>
    <w:bookmarkEnd w:id="938"/>
    <w:bookmarkEnd w:id="939"/>
    <w:p>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color w:val="auto"/>
          <w:kern w:val="0"/>
          <w:sz w:val="24"/>
          <w:highlight w:val="none"/>
        </w:rPr>
      </w:pPr>
      <w:bookmarkStart w:id="940" w:name="_Toc360434957"/>
      <w:bookmarkStart w:id="941" w:name="_Toc430206088"/>
      <w:bookmarkStart w:id="942" w:name="_Toc10861"/>
      <w:bookmarkStart w:id="943" w:name="_Toc364781348"/>
      <w:bookmarkStart w:id="944" w:name="_Toc362508707"/>
      <w:bookmarkStart w:id="945" w:name="_Toc287607869"/>
      <w:bookmarkStart w:id="946" w:name="_Toc277082645"/>
      <w:bookmarkStart w:id="947" w:name="_Toc224103497"/>
      <w:r>
        <w:rPr>
          <w:rFonts w:hint="eastAsia" w:ascii="宋体" w:hAnsi="宋体" w:cs="宋体"/>
          <w:color w:val="auto"/>
          <w:spacing w:val="-1"/>
          <w:kern w:val="0"/>
          <w:sz w:val="24"/>
          <w:highlight w:val="none"/>
        </w:rPr>
        <w:t>年</w:t>
      </w:r>
      <w:r>
        <w:rPr>
          <w:rFonts w:hint="eastAsia" w:ascii="宋体" w:hAnsi="宋体" w:cs="宋体"/>
          <w:color w:val="auto"/>
          <w:spacing w:val="-1"/>
          <w:kern w:val="0"/>
          <w:sz w:val="24"/>
          <w:highlight w:val="none"/>
          <w:lang w:val="en-US" w:eastAsia="zh-CN"/>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日</w:t>
      </w:r>
    </w:p>
    <w:p>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color w:val="auto"/>
          <w:kern w:val="0"/>
          <w:sz w:val="24"/>
          <w:highlight w:val="none"/>
        </w:rPr>
      </w:pPr>
    </w:p>
    <w:p>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color w:val="auto"/>
          <w:kern w:val="0"/>
          <w:sz w:val="24"/>
          <w:highlight w:val="none"/>
        </w:rPr>
      </w:pPr>
    </w:p>
    <w:p>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color w:val="auto"/>
          <w:kern w:val="0"/>
          <w:sz w:val="24"/>
          <w:highlight w:val="none"/>
        </w:rPr>
      </w:pPr>
    </w:p>
    <w:p>
      <w:pPr>
        <w:tabs>
          <w:tab w:val="left" w:pos="4935"/>
          <w:tab w:val="left" w:pos="5460"/>
          <w:tab w:val="left" w:pos="6400"/>
        </w:tabs>
        <w:autoSpaceDE w:val="0"/>
        <w:autoSpaceDN w:val="0"/>
        <w:adjustRightInd w:val="0"/>
        <w:snapToGrid w:val="0"/>
        <w:spacing w:line="440" w:lineRule="exact"/>
        <w:ind w:firstLine="3780"/>
        <w:jc w:val="right"/>
        <w:rPr>
          <w:rFonts w:ascii="宋体" w:hAnsi="宋体" w:cs="宋体"/>
          <w:color w:val="auto"/>
          <w:kern w:val="0"/>
          <w:sz w:val="24"/>
          <w:highlight w:val="none"/>
        </w:rPr>
      </w:pPr>
    </w:p>
    <w:p>
      <w:pPr>
        <w:pStyle w:val="4"/>
        <w:rPr>
          <w:rFonts w:ascii="宋体" w:hAnsi="宋体" w:cs="宋体"/>
          <w:color w:val="auto"/>
          <w:highlight w:val="none"/>
        </w:rPr>
      </w:pPr>
      <w:r>
        <w:rPr>
          <w:rFonts w:hint="eastAsia" w:ascii="宋体" w:hAnsi="宋体" w:cs="宋体"/>
          <w:color w:val="auto"/>
          <w:highlight w:val="none"/>
        </w:rPr>
        <w:t>（二）法定代表人身份证明、授权委托书</w:t>
      </w:r>
      <w:bookmarkEnd w:id="940"/>
      <w:bookmarkEnd w:id="941"/>
      <w:bookmarkEnd w:id="942"/>
      <w:bookmarkEnd w:id="943"/>
      <w:bookmarkEnd w:id="944"/>
      <w:r>
        <w:rPr>
          <w:rFonts w:hint="eastAsia" w:ascii="宋体" w:hAnsi="宋体" w:cs="宋体"/>
          <w:color w:val="auto"/>
          <w:highlight w:val="none"/>
        </w:rPr>
        <w:t>及项目经理委任书</w:t>
      </w:r>
    </w:p>
    <w:p>
      <w:pPr>
        <w:jc w:val="center"/>
        <w:rPr>
          <w:rFonts w:ascii="宋体" w:hAnsi="宋体" w:cs="宋体"/>
          <w:b/>
          <w:color w:val="auto"/>
          <w:highlight w:val="none"/>
        </w:rPr>
      </w:pPr>
      <w:r>
        <w:rPr>
          <w:rFonts w:hint="eastAsia" w:ascii="宋体" w:hAnsi="宋体" w:cs="宋体"/>
          <w:b/>
          <w:color w:val="auto"/>
          <w:sz w:val="28"/>
          <w:highlight w:val="none"/>
        </w:rPr>
        <w:t>法定代表人身份证明</w:t>
      </w:r>
    </w:p>
    <w:p>
      <w:pPr>
        <w:ind w:left="765"/>
        <w:rPr>
          <w:rFonts w:ascii="宋体" w:hAnsi="宋体" w:cs="宋体"/>
          <w:color w:val="auto"/>
          <w:highlight w:val="none"/>
        </w:rPr>
      </w:pPr>
    </w:p>
    <w:p>
      <w:pPr>
        <w:tabs>
          <w:tab w:val="left" w:pos="5565"/>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竞选人名称：</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单位性质：</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2520"/>
          <w:tab w:val="left" w:pos="3836"/>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成立时间：</w:t>
      </w: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年</w:t>
      </w: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月</w:t>
      </w:r>
      <w:r>
        <w:rPr>
          <w:rFonts w:hint="eastAsia" w:ascii="宋体" w:hAnsi="宋体" w:cs="宋体"/>
          <w:color w:val="auto"/>
          <w:kern w:val="0"/>
          <w:sz w:val="24"/>
          <w:highlight w:val="none"/>
        </w:rPr>
        <w:t>日</w:t>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经营期限：</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1580"/>
          <w:tab w:val="left" w:pos="3260"/>
          <w:tab w:val="left" w:pos="4840"/>
          <w:tab w:val="left" w:pos="6300"/>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 性别</w:t>
      </w:r>
      <w:r>
        <w:rPr>
          <w:rFonts w:hint="eastAsia" w:ascii="宋体" w:hAnsi="宋体" w:cs="宋体"/>
          <w:color w:val="auto"/>
          <w:spacing w:val="-1"/>
          <w:kern w:val="0"/>
          <w:sz w:val="24"/>
          <w:highlight w:val="none"/>
        </w:rPr>
        <w:t>：</w:t>
      </w: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年</w:t>
      </w:r>
      <w:r>
        <w:rPr>
          <w:rFonts w:hint="eastAsia" w:ascii="宋体" w:hAnsi="宋体" w:cs="宋体"/>
          <w:color w:val="auto"/>
          <w:kern w:val="0"/>
          <w:sz w:val="24"/>
          <w:highlight w:val="none"/>
        </w:rPr>
        <w:t>龄：</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职务：</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3360"/>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 （竞选人名称）的法定代表人。</w:t>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autoSpaceDE w:val="0"/>
        <w:autoSpaceDN w:val="0"/>
        <w:adjustRightInd w:val="0"/>
        <w:snapToGrid w:val="0"/>
        <w:spacing w:line="440" w:lineRule="exact"/>
        <w:ind w:firstLine="926" w:firstLineChars="386"/>
        <w:jc w:val="left"/>
        <w:rPr>
          <w:rFonts w:ascii="宋体" w:hAnsi="宋体" w:cs="宋体"/>
          <w:color w:val="auto"/>
          <w:kern w:val="0"/>
          <w:sz w:val="24"/>
          <w:highlight w:val="none"/>
        </w:rPr>
      </w:pPr>
      <w:r>
        <w:rPr>
          <w:rFonts w:hint="eastAsia" w:ascii="宋体" w:hAnsi="宋体" w:cs="宋体"/>
          <w:color w:val="auto"/>
          <w:kern w:val="0"/>
          <w:sz w:val="24"/>
          <w:highlight w:val="none"/>
        </w:rPr>
        <w:t>特此证明。</w:t>
      </w:r>
    </w:p>
    <w:p>
      <w:pPr>
        <w:tabs>
          <w:tab w:val="left" w:pos="5460"/>
        </w:tabs>
        <w:autoSpaceDE w:val="0"/>
        <w:autoSpaceDN w:val="0"/>
        <w:adjustRightInd w:val="0"/>
        <w:snapToGrid w:val="0"/>
        <w:spacing w:line="440" w:lineRule="exact"/>
        <w:ind w:firstLine="2100"/>
        <w:jc w:val="right"/>
        <w:rPr>
          <w:rFonts w:ascii="宋体" w:hAnsi="宋体" w:cs="宋体"/>
          <w:color w:val="auto"/>
          <w:kern w:val="0"/>
          <w:sz w:val="24"/>
          <w:highlight w:val="none"/>
        </w:rPr>
      </w:pPr>
      <w:r>
        <w:rPr>
          <w:rFonts w:hint="eastAsia" w:ascii="宋体" w:hAnsi="宋体" w:cs="宋体"/>
          <w:color w:val="auto"/>
          <w:kern w:val="0"/>
          <w:sz w:val="24"/>
          <w:highlight w:val="none"/>
        </w:rPr>
        <w:t>竞选人：</w:t>
      </w: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w:t>
      </w:r>
      <w:r>
        <w:rPr>
          <w:rFonts w:hint="eastAsia" w:ascii="宋体" w:hAnsi="宋体" w:cs="宋体"/>
          <w:color w:val="auto"/>
          <w:kern w:val="0"/>
          <w:sz w:val="24"/>
          <w:highlight w:val="none"/>
        </w:rPr>
        <w:t>盖单位</w:t>
      </w:r>
      <w:r>
        <w:rPr>
          <w:rFonts w:hint="eastAsia" w:ascii="宋体" w:hAnsi="宋体" w:cs="宋体"/>
          <w:snapToGrid w:val="0"/>
          <w:color w:val="auto"/>
          <w:kern w:val="0"/>
          <w:szCs w:val="21"/>
          <w:highlight w:val="none"/>
        </w:rPr>
        <w:t>法人</w:t>
      </w:r>
      <w:r>
        <w:rPr>
          <w:rFonts w:hint="eastAsia" w:ascii="宋体" w:hAnsi="宋体" w:cs="宋体"/>
          <w:color w:val="auto"/>
          <w:kern w:val="0"/>
          <w:sz w:val="24"/>
          <w:highlight w:val="none"/>
        </w:rPr>
        <w:t>章）</w:t>
      </w:r>
    </w:p>
    <w:p>
      <w:pPr>
        <w:autoSpaceDE w:val="0"/>
        <w:autoSpaceDN w:val="0"/>
        <w:adjustRightInd w:val="0"/>
        <w:snapToGrid w:val="0"/>
        <w:spacing w:line="440" w:lineRule="exact"/>
        <w:jc w:val="left"/>
        <w:rPr>
          <w:rFonts w:ascii="宋体" w:hAnsi="宋体" w:cs="宋体"/>
          <w:color w:val="auto"/>
          <w:kern w:val="0"/>
          <w:sz w:val="24"/>
          <w:highlight w:val="none"/>
        </w:rPr>
      </w:pPr>
    </w:p>
    <w:p>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color w:val="auto"/>
          <w:kern w:val="0"/>
          <w:sz w:val="24"/>
          <w:highlight w:val="none"/>
        </w:rPr>
      </w:pP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年</w:t>
      </w:r>
      <w:r>
        <w:rPr>
          <w:rFonts w:hint="eastAsia" w:ascii="宋体" w:hAnsi="宋体" w:cs="宋体"/>
          <w:color w:val="auto"/>
          <w:kern w:val="0"/>
          <w:sz w:val="24"/>
          <w:highlight w:val="none"/>
        </w:rPr>
        <w:t>月日</w:t>
      </w:r>
    </w:p>
    <w:tbl>
      <w:tblPr>
        <w:tblStyle w:val="30"/>
        <w:tblpPr w:leftFromText="180" w:rightFromText="180" w:vertAnchor="text" w:horzAnchor="margin" w:tblpY="205"/>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1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法定代表人身份证复印件</w:t>
            </w: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法定代表人身份证复印件</w:t>
            </w: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（国徽面)</w:t>
            </w:r>
          </w:p>
        </w:tc>
      </w:tr>
    </w:tbl>
    <w:p>
      <w:pPr>
        <w:spacing w:line="360" w:lineRule="auto"/>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bookmarkEnd w:id="945"/>
      <w:bookmarkEnd w:id="946"/>
      <w:bookmarkEnd w:id="947"/>
      <w:bookmarkStart w:id="948" w:name="_Toc20740"/>
      <w:bookmarkStart w:id="949" w:name="_Toc360434967"/>
      <w:bookmarkStart w:id="950" w:name="_Toc364781352"/>
      <w:bookmarkStart w:id="951" w:name="_Toc362508711"/>
      <w:bookmarkStart w:id="952" w:name="_Toc224103510"/>
      <w:bookmarkStart w:id="953" w:name="_Toc287607882"/>
      <w:bookmarkStart w:id="954" w:name="_Toc277082656"/>
      <w:r>
        <w:rPr>
          <w:rFonts w:hint="eastAsia" w:ascii="宋体" w:hAnsi="宋体" w:cs="宋体"/>
          <w:b/>
          <w:color w:val="auto"/>
          <w:kern w:val="0"/>
          <w:sz w:val="28"/>
          <w:szCs w:val="28"/>
          <w:highlight w:val="none"/>
        </w:rPr>
        <w:t xml:space="preserve">授权委托书 </w:t>
      </w:r>
    </w:p>
    <w:p>
      <w:pPr>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（姓名）系（</w:t>
      </w: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 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为我方代理人，联系电话。代理人根据授权，以我方名义签署、澄清、说明、补正、递交、撤回、 修改</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名称）施工的竞选文件、签订合同和处理有关事宜，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kern w:val="0"/>
          <w:szCs w:val="21"/>
          <w:highlight w:val="none"/>
          <w:u w:val="single"/>
        </w:rPr>
        <w:t>：90天</w:t>
      </w:r>
      <w:r>
        <w:rPr>
          <w:rFonts w:hint="eastAsia" w:ascii="宋体" w:hAnsi="宋体" w:cs="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附：法定代表人身份证明。</w:t>
      </w:r>
    </w:p>
    <w:p>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竞选人：（盖单位法人章） </w:t>
      </w:r>
    </w:p>
    <w:p>
      <w:pPr>
        <w:tabs>
          <w:tab w:val="left" w:pos="630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pPr>
        <w:tabs>
          <w:tab w:val="left" w:pos="6945"/>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pPr>
        <w:tabs>
          <w:tab w:val="left" w:pos="6825"/>
        </w:tabs>
        <w:autoSpaceDE w:val="0"/>
        <w:autoSpaceDN w:val="0"/>
        <w:adjustRightInd w:val="0"/>
        <w:snapToGrid w:val="0"/>
        <w:spacing w:line="360" w:lineRule="auto"/>
        <w:ind w:firstLine="168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pPr>
        <w:tabs>
          <w:tab w:val="left" w:pos="6825"/>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bCs/>
          <w:color w:val="auto"/>
          <w:kern w:val="0"/>
          <w:szCs w:val="21"/>
          <w:highlight w:val="none"/>
        </w:rPr>
        <w:t>社保号码：</w:t>
      </w:r>
      <w:r>
        <w:rPr>
          <w:rFonts w:hint="eastAsia" w:ascii="宋体" w:hAnsi="宋体" w:cs="宋体"/>
          <w:bCs/>
          <w:color w:val="auto"/>
          <w:kern w:val="0"/>
          <w:szCs w:val="21"/>
          <w:highlight w:val="none"/>
          <w:u w:val="single"/>
        </w:rPr>
        <w:tab/>
      </w:r>
    </w:p>
    <w:p>
      <w:pPr>
        <w:tabs>
          <w:tab w:val="left" w:pos="4215"/>
          <w:tab w:val="left" w:pos="5040"/>
        </w:tabs>
        <w:autoSpaceDE w:val="0"/>
        <w:autoSpaceDN w:val="0"/>
        <w:adjustRightInd w:val="0"/>
        <w:snapToGrid w:val="0"/>
        <w:spacing w:line="360" w:lineRule="auto"/>
        <w:ind w:firstLine="378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pPr>
        <w:rPr>
          <w:rFonts w:ascii="宋体" w:hAnsi="宋体" w:cs="宋体"/>
          <w:vanish/>
          <w:color w:val="auto"/>
          <w:highlight w:val="none"/>
        </w:rPr>
      </w:pPr>
    </w:p>
    <w:tbl>
      <w:tblPr>
        <w:tblStyle w:val="30"/>
        <w:tblpPr w:leftFromText="180" w:rightFromText="180" w:vertAnchor="text" w:horzAnchor="page" w:tblpX="1851" w:tblpY="297"/>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1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委托代理人身份证复印件</w:t>
            </w: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委托代理人身份证复印件</w:t>
            </w: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（国徽面)</w:t>
            </w:r>
          </w:p>
        </w:tc>
      </w:tr>
    </w:tbl>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注：1、法定代表人参加比选活动并签署文件的不需要授权委托书，只需提供法定代表人身份证明；</w:t>
      </w: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w:t>
      </w:r>
      <w:r>
        <w:rPr>
          <w:rFonts w:hint="eastAsia"/>
          <w:color w:val="auto"/>
          <w:highlight w:val="none"/>
        </w:rPr>
        <w:t>建造师注册证原件</w:t>
      </w:r>
      <w:r>
        <w:rPr>
          <w:rFonts w:hint="eastAsia" w:ascii="宋体" w:hAnsi="宋体" w:cs="宋体"/>
          <w:color w:val="auto"/>
          <w:kern w:val="0"/>
          <w:szCs w:val="21"/>
          <w:highlight w:val="none"/>
        </w:rPr>
        <w:t>；竞选人法定代表人的委托代理人有法定代表人签署的授权委托书（委托代理人必须为本单位人员，至少提供</w:t>
      </w:r>
      <w:r>
        <w:rPr>
          <w:rFonts w:hint="eastAsia" w:ascii="宋体" w:hAnsi="宋体" w:cs="宋体"/>
          <w:b/>
          <w:bCs/>
          <w:color w:val="auto"/>
          <w:kern w:val="0"/>
          <w:szCs w:val="21"/>
          <w:highlight w:val="none"/>
        </w:rPr>
        <w:t>20</w:t>
      </w:r>
      <w:r>
        <w:rPr>
          <w:rFonts w:hint="eastAsia" w:ascii="宋体" w:hAnsi="宋体" w:cs="宋体"/>
          <w:b/>
          <w:bCs/>
          <w:color w:val="auto"/>
          <w:kern w:val="0"/>
          <w:szCs w:val="21"/>
          <w:highlight w:val="none"/>
          <w:lang w:val="en-US" w:eastAsia="zh-CN"/>
        </w:rPr>
        <w:t>19</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月-2020年</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月养老保险证明</w:t>
      </w:r>
      <w:r>
        <w:rPr>
          <w:rFonts w:hint="eastAsia" w:ascii="宋体" w:hAnsi="宋体" w:cs="宋体"/>
          <w:color w:val="auto"/>
          <w:kern w:val="0"/>
          <w:szCs w:val="21"/>
          <w:highlight w:val="none"/>
        </w:rPr>
        <w:t>的复印件），且其授权委托书符合比选文件规定的格式。委托代理人社保证明现场验原件，收复印件，复印件需加盖公章。</w:t>
      </w: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社会单位提供社保证明，事业单位提供社保证明或行政主管部门在编证明。</w:t>
      </w:r>
    </w:p>
    <w:p>
      <w:pPr>
        <w:numPr>
          <w:ilvl w:val="0"/>
          <w:numId w:val="9"/>
        </w:num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中选人在竞选文件有效期限内不得变更项目委托代理人，否则视为放弃中选资格，因不可抗力原因变更项目委托代理人需报行业主管部门备案。</w:t>
      </w:r>
    </w:p>
    <w:p>
      <w:pPr>
        <w:spacing w:line="360" w:lineRule="auto"/>
        <w:jc w:val="center"/>
        <w:rPr>
          <w:rFonts w:ascii="宋体" w:hAnsi="宋体" w:cs="宋体"/>
          <w:b/>
          <w:color w:val="auto"/>
          <w:sz w:val="28"/>
          <w:szCs w:val="36"/>
          <w:highlight w:val="none"/>
        </w:rPr>
      </w:pPr>
    </w:p>
    <w:p>
      <w:pPr>
        <w:spacing w:line="360" w:lineRule="auto"/>
        <w:jc w:val="center"/>
        <w:rPr>
          <w:rFonts w:ascii="宋体" w:hAnsi="宋体" w:cs="宋体"/>
          <w:b/>
          <w:color w:val="auto"/>
          <w:sz w:val="28"/>
          <w:szCs w:val="36"/>
          <w:highlight w:val="none"/>
        </w:rPr>
      </w:pPr>
    </w:p>
    <w:p>
      <w:pPr>
        <w:spacing w:line="360" w:lineRule="auto"/>
        <w:jc w:val="center"/>
        <w:rPr>
          <w:rFonts w:ascii="宋体" w:hAnsi="宋体" w:cs="宋体"/>
          <w:b/>
          <w:color w:val="auto"/>
          <w:sz w:val="28"/>
          <w:szCs w:val="36"/>
          <w:highlight w:val="none"/>
        </w:rPr>
      </w:pPr>
    </w:p>
    <w:p>
      <w:pPr>
        <w:spacing w:line="360" w:lineRule="auto"/>
        <w:jc w:val="center"/>
        <w:rPr>
          <w:rFonts w:ascii="宋体" w:hAnsi="宋体" w:cs="宋体"/>
          <w:b/>
          <w:color w:val="auto"/>
          <w:sz w:val="28"/>
          <w:szCs w:val="36"/>
          <w:highlight w:val="none"/>
        </w:rPr>
      </w:pPr>
    </w:p>
    <w:p>
      <w:pPr>
        <w:spacing w:line="360" w:lineRule="auto"/>
        <w:jc w:val="center"/>
        <w:rPr>
          <w:rFonts w:ascii="宋体" w:hAnsi="宋体" w:cs="宋体"/>
          <w:b/>
          <w:color w:val="auto"/>
          <w:sz w:val="28"/>
          <w:szCs w:val="36"/>
          <w:highlight w:val="none"/>
        </w:rPr>
      </w:pPr>
      <w:r>
        <w:rPr>
          <w:rFonts w:hint="eastAsia" w:ascii="宋体" w:hAnsi="宋体" w:cs="宋体"/>
          <w:b/>
          <w:color w:val="auto"/>
          <w:sz w:val="28"/>
          <w:szCs w:val="36"/>
          <w:highlight w:val="none"/>
        </w:rPr>
        <w:t>项目经理委任书</w:t>
      </w:r>
    </w:p>
    <w:p>
      <w:pPr>
        <w:spacing w:line="360" w:lineRule="auto"/>
        <w:rPr>
          <w:rFonts w:ascii="宋体" w:hAnsi="宋体" w:cs="宋体"/>
          <w:color w:val="auto"/>
          <w:szCs w:val="21"/>
          <w:highlight w:val="none"/>
          <w:lang w:val="zh-CN"/>
        </w:rPr>
      </w:pPr>
    </w:p>
    <w:p>
      <w:pPr>
        <w:spacing w:line="360" w:lineRule="auto"/>
        <w:rPr>
          <w:rFonts w:ascii="宋体" w:hAnsi="宋体" w:cs="宋体"/>
          <w:color w:val="auto"/>
          <w:szCs w:val="21"/>
          <w:highlight w:val="none"/>
          <w:lang w:val="zh-CN"/>
        </w:rPr>
      </w:pPr>
    </w:p>
    <w:p>
      <w:pPr>
        <w:rPr>
          <w:rFonts w:ascii="宋体" w:hAnsi="宋体" w:cs="宋体"/>
          <w:color w:val="auto"/>
          <w:szCs w:val="21"/>
          <w:highlight w:val="none"/>
          <w:lang w:val="zh-CN"/>
        </w:rPr>
      </w:pPr>
      <w:r>
        <w:rPr>
          <w:rFonts w:hint="eastAsia" w:ascii="宋体" w:hAnsi="宋体" w:cs="宋体"/>
          <w:color w:val="auto"/>
          <w:szCs w:val="21"/>
          <w:highlight w:val="none"/>
          <w:lang w:val="zh-CN"/>
        </w:rPr>
        <w:t>致：</w:t>
      </w:r>
      <w:r>
        <w:rPr>
          <w:rFonts w:hint="eastAsia" w:ascii="宋体" w:hAnsi="宋体" w:cs="宋体"/>
          <w:color w:val="auto"/>
          <w:szCs w:val="21"/>
          <w:highlight w:val="none"/>
          <w:u w:val="single"/>
        </w:rPr>
        <w:t xml:space="preserve">     （比选人）  </w:t>
      </w:r>
    </w:p>
    <w:p>
      <w:pPr>
        <w:spacing w:line="48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竞选人名称</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法定代表人</w:t>
      </w:r>
      <w:r>
        <w:rPr>
          <w:rFonts w:hint="eastAsia" w:ascii="宋体" w:hAnsi="宋体" w:cs="宋体"/>
          <w:color w:val="auto"/>
          <w:szCs w:val="21"/>
          <w:highlight w:val="none"/>
          <w:u w:val="single"/>
          <w:lang w:val="zh-CN"/>
        </w:rPr>
        <w:t>（职务、姓名）</w:t>
      </w:r>
      <w:r>
        <w:rPr>
          <w:rFonts w:hint="eastAsia" w:ascii="宋体" w:hAnsi="宋体" w:cs="宋体"/>
          <w:color w:val="auto"/>
          <w:szCs w:val="21"/>
          <w:highlight w:val="none"/>
          <w:lang w:val="zh-CN"/>
        </w:rPr>
        <w:t>代表本单位委任</w:t>
      </w:r>
      <w:r>
        <w:rPr>
          <w:rFonts w:hint="eastAsia" w:ascii="宋体" w:hAnsi="宋体" w:cs="宋体"/>
          <w:color w:val="auto"/>
          <w:szCs w:val="21"/>
          <w:highlight w:val="none"/>
          <w:u w:val="single"/>
          <w:lang w:val="zh-CN"/>
        </w:rPr>
        <w:t>（职务、姓名）</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为</w:t>
      </w:r>
      <w:r>
        <w:rPr>
          <w:rFonts w:hint="eastAsia" w:ascii="宋体" w:hAnsi="宋体" w:cs="宋体"/>
          <w:color w:val="auto"/>
          <w:kern w:val="0"/>
          <w:szCs w:val="21"/>
          <w:highlight w:val="none"/>
          <w:u w:val="single"/>
        </w:rPr>
        <w:tab/>
      </w:r>
    </w:p>
    <w:p>
      <w:pPr>
        <w:spacing w:line="480" w:lineRule="auto"/>
        <w:jc w:val="left"/>
        <w:rPr>
          <w:rFonts w:ascii="宋体" w:hAnsi="宋体" w:cs="宋体"/>
          <w:color w:val="auto"/>
          <w:szCs w:val="21"/>
          <w:highlight w:val="none"/>
          <w:lang w:val="zh-CN"/>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w:t>
      </w:r>
      <w:r>
        <w:rPr>
          <w:rFonts w:hint="eastAsia" w:ascii="宋体" w:hAnsi="宋体" w:cs="宋体"/>
          <w:color w:val="auto"/>
          <w:szCs w:val="21"/>
          <w:highlight w:val="none"/>
          <w:lang w:val="zh-CN"/>
        </w:rPr>
        <w:t>的项目经理。</w:t>
      </w:r>
    </w:p>
    <w:p>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竞选人：（盖单位法人章） </w:t>
      </w:r>
    </w:p>
    <w:p>
      <w:pPr>
        <w:tabs>
          <w:tab w:val="left" w:pos="630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pPr>
        <w:tabs>
          <w:tab w:val="left" w:pos="6945"/>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项目经理：</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pPr>
        <w:tabs>
          <w:tab w:val="left" w:pos="6825"/>
        </w:tabs>
        <w:autoSpaceDE w:val="0"/>
        <w:autoSpaceDN w:val="0"/>
        <w:adjustRightInd w:val="0"/>
        <w:snapToGrid w:val="0"/>
        <w:spacing w:line="360" w:lineRule="auto"/>
        <w:ind w:firstLine="168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pPr>
        <w:tabs>
          <w:tab w:val="left" w:pos="6825"/>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bCs/>
          <w:color w:val="auto"/>
          <w:kern w:val="0"/>
          <w:szCs w:val="21"/>
          <w:highlight w:val="none"/>
        </w:rPr>
        <w:t>社保号码：</w:t>
      </w:r>
      <w:r>
        <w:rPr>
          <w:rFonts w:hint="eastAsia" w:ascii="宋体" w:hAnsi="宋体" w:cs="宋体"/>
          <w:bCs/>
          <w:color w:val="auto"/>
          <w:kern w:val="0"/>
          <w:szCs w:val="21"/>
          <w:highlight w:val="none"/>
          <w:u w:val="single"/>
        </w:rPr>
        <w:tab/>
      </w:r>
    </w:p>
    <w:p>
      <w:pPr>
        <w:spacing w:line="480" w:lineRule="auto"/>
        <w:jc w:val="center"/>
        <w:rPr>
          <w:rFonts w:ascii="宋体" w:hAnsi="宋体" w:cs="宋体"/>
          <w:color w:val="auto"/>
          <w:szCs w:val="21"/>
          <w:highlight w:val="none"/>
          <w:lang w:val="zh-CN"/>
        </w:rPr>
      </w:pP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tbl>
      <w:tblPr>
        <w:tblStyle w:val="30"/>
        <w:tblpPr w:leftFromText="180" w:rightFromText="180" w:vertAnchor="text" w:horzAnchor="page" w:tblpX="2167" w:tblpY="146"/>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65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项目经理身份证复印件</w:t>
            </w: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项目经理身份证复印件</w:t>
            </w: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（国徽面)</w:t>
            </w:r>
          </w:p>
        </w:tc>
      </w:tr>
    </w:tbl>
    <w:p>
      <w:pPr>
        <w:tabs>
          <w:tab w:val="left" w:pos="4005"/>
          <w:tab w:val="left" w:pos="4100"/>
          <w:tab w:val="left" w:pos="5040"/>
        </w:tabs>
        <w:autoSpaceDE w:val="0"/>
        <w:autoSpaceDN w:val="0"/>
        <w:adjustRightInd w:val="0"/>
        <w:snapToGrid w:val="0"/>
        <w:spacing w:line="360" w:lineRule="auto"/>
        <w:jc w:val="left"/>
        <w:rPr>
          <w:rFonts w:ascii="宋体" w:hAnsi="宋体" w:cs="宋体"/>
          <w:color w:val="auto"/>
          <w:szCs w:val="21"/>
          <w:highlight w:val="none"/>
          <w:lang w:val="zh-CN"/>
        </w:rPr>
      </w:pPr>
    </w:p>
    <w:p>
      <w:pPr>
        <w:spacing w:line="480" w:lineRule="auto"/>
        <w:rPr>
          <w:rFonts w:ascii="宋体" w:hAnsi="宋体" w:cs="宋体"/>
          <w:color w:val="auto"/>
          <w:szCs w:val="21"/>
          <w:highlight w:val="none"/>
          <w:lang w:val="zh-CN"/>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numPr>
          <w:ilvl w:val="0"/>
          <w:numId w:val="10"/>
        </w:numPr>
        <w:tabs>
          <w:tab w:val="left" w:pos="5760"/>
        </w:tabs>
        <w:autoSpaceDE w:val="0"/>
        <w:autoSpaceDN w:val="0"/>
        <w:adjustRightInd w:val="0"/>
        <w:spacing w:line="300" w:lineRule="exact"/>
        <w:ind w:right="11"/>
        <w:jc w:val="center"/>
        <w:rPr>
          <w:rFonts w:ascii="宋体" w:hAnsi="宋体" w:cs="宋体"/>
          <w:b/>
          <w:color w:val="auto"/>
          <w:sz w:val="28"/>
          <w:highlight w:val="none"/>
        </w:rPr>
      </w:pPr>
      <w:bookmarkStart w:id="955" w:name="_Toc12286"/>
      <w:bookmarkStart w:id="956" w:name="_Toc28736"/>
      <w:bookmarkStart w:id="957" w:name="_Toc6479"/>
      <w:bookmarkStart w:id="958" w:name="_Toc430206089"/>
      <w:r>
        <w:rPr>
          <w:rFonts w:hint="eastAsia" w:ascii="宋体" w:hAnsi="宋体" w:cs="宋体"/>
          <w:b/>
          <w:color w:val="auto"/>
          <w:sz w:val="28"/>
          <w:highlight w:val="none"/>
        </w:rPr>
        <w:t>商务部分</w:t>
      </w:r>
      <w:bookmarkEnd w:id="948"/>
      <w:bookmarkEnd w:id="955"/>
      <w:bookmarkEnd w:id="956"/>
      <w:bookmarkEnd w:id="957"/>
      <w:bookmarkEnd w:id="958"/>
    </w:p>
    <w:p>
      <w:pPr>
        <w:tabs>
          <w:tab w:val="left" w:pos="5760"/>
        </w:tabs>
        <w:autoSpaceDE w:val="0"/>
        <w:autoSpaceDN w:val="0"/>
        <w:adjustRightInd w:val="0"/>
        <w:spacing w:line="300" w:lineRule="exact"/>
        <w:ind w:right="11"/>
        <w:outlineLvl w:val="1"/>
        <w:rPr>
          <w:rFonts w:ascii="宋体" w:hAnsi="宋体" w:cs="宋体"/>
          <w:b/>
          <w:color w:val="auto"/>
          <w:sz w:val="28"/>
          <w:highlight w:val="none"/>
        </w:rPr>
      </w:pPr>
    </w:p>
    <w:p>
      <w:pPr>
        <w:tabs>
          <w:tab w:val="left" w:pos="6095"/>
        </w:tabs>
        <w:autoSpaceDE w:val="0"/>
        <w:autoSpaceDN w:val="0"/>
        <w:adjustRightInd w:val="0"/>
        <w:snapToGrid w:val="0"/>
        <w:spacing w:line="360" w:lineRule="auto"/>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u w:val="single"/>
        </w:rPr>
        <w:br w:type="page"/>
      </w:r>
      <w:r>
        <w:rPr>
          <w:rFonts w:hint="eastAsia" w:ascii="宋体" w:hAnsi="宋体" w:cs="宋体"/>
          <w:b/>
          <w:color w:val="auto"/>
          <w:kern w:val="0"/>
          <w:sz w:val="28"/>
          <w:szCs w:val="28"/>
          <w:highlight w:val="none"/>
          <w:u w:val="single"/>
        </w:rPr>
        <w:tab/>
      </w:r>
      <w:r>
        <w:rPr>
          <w:rFonts w:hint="eastAsia" w:ascii="宋体" w:hAnsi="宋体" w:cs="宋体"/>
          <w:b/>
          <w:color w:val="auto"/>
          <w:w w:val="99"/>
          <w:kern w:val="0"/>
          <w:sz w:val="28"/>
          <w:szCs w:val="28"/>
          <w:highlight w:val="none"/>
        </w:rPr>
        <w:t>（项目名称</w:t>
      </w:r>
      <w:r>
        <w:rPr>
          <w:rFonts w:hint="eastAsia" w:ascii="宋体" w:hAnsi="宋体" w:cs="宋体"/>
          <w:b/>
          <w:color w:val="auto"/>
          <w:spacing w:val="1"/>
          <w:w w:val="99"/>
          <w:kern w:val="0"/>
          <w:sz w:val="28"/>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宋体"/>
          <w:b/>
          <w:color w:val="auto"/>
          <w:kern w:val="0"/>
          <w:sz w:val="84"/>
          <w:szCs w:val="84"/>
          <w:highlight w:val="none"/>
        </w:rPr>
      </w:pPr>
      <w:r>
        <w:rPr>
          <w:rFonts w:hint="eastAsia" w:ascii="宋体" w:hAnsi="宋体" w:cs="宋体"/>
          <w:b/>
          <w:color w:val="auto"/>
          <w:kern w:val="0"/>
          <w:sz w:val="84"/>
          <w:szCs w:val="84"/>
          <w:highlight w:val="none"/>
        </w:rPr>
        <w:t>竞选文件</w:t>
      </w:r>
    </w:p>
    <w:p>
      <w:pPr>
        <w:autoSpaceDE w:val="0"/>
        <w:autoSpaceDN w:val="0"/>
        <w:adjustRightInd w:val="0"/>
        <w:snapToGrid w:val="0"/>
        <w:spacing w:line="360" w:lineRule="auto"/>
        <w:jc w:val="left"/>
        <w:rPr>
          <w:rFonts w:ascii="宋体" w:hAnsi="宋体" w:cs="宋体"/>
          <w:color w:val="auto"/>
          <w:kern w:val="0"/>
          <w:sz w:val="16"/>
          <w:szCs w:val="16"/>
          <w:highlight w:val="none"/>
        </w:rPr>
      </w:pPr>
    </w:p>
    <w:p>
      <w:pPr>
        <w:autoSpaceDE w:val="0"/>
        <w:autoSpaceDN w:val="0"/>
        <w:adjustRightInd w:val="0"/>
        <w:snapToGrid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商务部分</w:t>
      </w: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djustRightInd w:val="0"/>
        <w:snapToGrid w:val="0"/>
        <w:spacing w:line="264" w:lineRule="auto"/>
        <w:ind w:firstLine="630" w:firstLineChars="30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tabs>
          <w:tab w:val="left" w:pos="6080"/>
          <w:tab w:val="left" w:pos="6640"/>
        </w:tabs>
        <w:autoSpaceDE w:val="0"/>
        <w:autoSpaceDN w:val="0"/>
        <w:adjustRightInd w:val="0"/>
        <w:snapToGrid w:val="0"/>
        <w:spacing w:line="360" w:lineRule="auto"/>
        <w:jc w:val="center"/>
        <w:rPr>
          <w:rFonts w:ascii="宋体" w:hAnsi="宋体" w:cs="宋体"/>
          <w:b/>
          <w:color w:val="auto"/>
          <w:w w:val="99"/>
          <w:kern w:val="0"/>
          <w:sz w:val="28"/>
          <w:szCs w:val="28"/>
          <w:highlight w:val="none"/>
        </w:rPr>
      </w:pPr>
      <w:r>
        <w:rPr>
          <w:rFonts w:hint="eastAsia" w:ascii="宋体" w:hAnsi="宋体" w:cs="宋体"/>
          <w:b/>
          <w:color w:val="auto"/>
          <w:w w:val="99"/>
          <w:kern w:val="0"/>
          <w:sz w:val="28"/>
          <w:szCs w:val="28"/>
          <w:highlight w:val="none"/>
        </w:rPr>
        <w:t>竞选人</w:t>
      </w:r>
      <w:r>
        <w:rPr>
          <w:rFonts w:hint="eastAsia" w:ascii="宋体" w:hAnsi="宋体" w:cs="宋体"/>
          <w:b/>
          <w:color w:val="auto"/>
          <w:spacing w:val="1"/>
          <w:w w:val="99"/>
          <w:kern w:val="0"/>
          <w:sz w:val="28"/>
          <w:szCs w:val="28"/>
          <w:highlight w:val="none"/>
        </w:rPr>
        <w:t>：</w:t>
      </w:r>
      <w:r>
        <w:rPr>
          <w:rFonts w:hint="eastAsia" w:ascii="宋体" w:hAnsi="宋体" w:cs="宋体"/>
          <w:b/>
          <w:color w:val="auto"/>
          <w:w w:val="198"/>
          <w:kern w:val="0"/>
          <w:sz w:val="28"/>
          <w:szCs w:val="28"/>
          <w:highlight w:val="none"/>
          <w:u w:val="single"/>
        </w:rPr>
        <w:t xml:space="preserve"> 　　　    　　</w:t>
      </w:r>
      <w:r>
        <w:rPr>
          <w:rFonts w:hint="eastAsia" w:ascii="宋体" w:hAnsi="宋体" w:cs="宋体"/>
          <w:b/>
          <w:color w:val="auto"/>
          <w:w w:val="99"/>
          <w:kern w:val="0"/>
          <w:sz w:val="28"/>
          <w:szCs w:val="28"/>
          <w:highlight w:val="none"/>
        </w:rPr>
        <w:t>（盖单位法人章）</w:t>
      </w:r>
    </w:p>
    <w:p>
      <w:pPr>
        <w:tabs>
          <w:tab w:val="left" w:pos="6080"/>
          <w:tab w:val="left" w:pos="6640"/>
        </w:tabs>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w w:val="99"/>
          <w:kern w:val="0"/>
          <w:sz w:val="28"/>
          <w:szCs w:val="28"/>
          <w:highlight w:val="none"/>
        </w:rPr>
        <w:t>法定代表人或其委托代理人：</w:t>
      </w:r>
      <w:r>
        <w:rPr>
          <w:rFonts w:hint="eastAsia" w:ascii="宋体" w:hAnsi="宋体" w:cs="宋体"/>
          <w:b/>
          <w:color w:val="auto"/>
          <w:w w:val="198"/>
          <w:kern w:val="0"/>
          <w:sz w:val="28"/>
          <w:szCs w:val="28"/>
          <w:highlight w:val="none"/>
          <w:u w:val="single"/>
        </w:rPr>
        <w:t xml:space="preserve"> 　 　　</w:t>
      </w:r>
      <w:r>
        <w:rPr>
          <w:rFonts w:hint="eastAsia" w:ascii="宋体" w:hAnsi="宋体" w:cs="宋体"/>
          <w:b/>
          <w:color w:val="auto"/>
          <w:w w:val="99"/>
          <w:kern w:val="0"/>
          <w:sz w:val="28"/>
          <w:szCs w:val="28"/>
          <w:highlight w:val="none"/>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宋体"/>
          <w:color w:val="auto"/>
          <w:kern w:val="0"/>
          <w:sz w:val="24"/>
          <w:szCs w:val="21"/>
          <w:highlight w:val="none"/>
        </w:rPr>
      </w:pPr>
      <w:r>
        <w:rPr>
          <w:rFonts w:hint="eastAsia" w:ascii="宋体" w:hAnsi="宋体" w:cs="宋体"/>
          <w:b/>
          <w:color w:val="auto"/>
          <w:w w:val="99"/>
          <w:kern w:val="0"/>
          <w:sz w:val="28"/>
          <w:szCs w:val="28"/>
          <w:highlight w:val="none"/>
        </w:rPr>
        <w:t>年月日</w:t>
      </w:r>
    </w:p>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b/>
          <w:color w:val="auto"/>
          <w:w w:val="99"/>
          <w:kern w:val="0"/>
          <w:sz w:val="28"/>
          <w:szCs w:val="28"/>
          <w:highlight w:val="none"/>
        </w:rPr>
        <w:br w:type="page"/>
      </w:r>
      <w:r>
        <w:rPr>
          <w:rFonts w:hint="eastAsia" w:ascii="宋体" w:hAnsi="宋体" w:cs="宋体"/>
          <w:b/>
          <w:color w:val="auto"/>
          <w:kern w:val="0"/>
          <w:sz w:val="32"/>
          <w:szCs w:val="32"/>
          <w:highlight w:val="none"/>
        </w:rPr>
        <w:t>目     录</w:t>
      </w:r>
    </w:p>
    <w:p>
      <w:pPr>
        <w:autoSpaceDE w:val="0"/>
        <w:autoSpaceDN w:val="0"/>
        <w:adjustRightInd w:val="0"/>
        <w:snapToGrid w:val="0"/>
        <w:spacing w:line="360" w:lineRule="auto"/>
        <w:jc w:val="left"/>
        <w:rPr>
          <w:rFonts w:ascii="宋体" w:hAnsi="宋体" w:cs="宋体"/>
          <w:color w:val="auto"/>
          <w:kern w:val="0"/>
          <w:szCs w:val="21"/>
          <w:highlight w:val="none"/>
        </w:rPr>
      </w:pPr>
    </w:p>
    <w:p>
      <w:pPr>
        <w:autoSpaceDE w:val="0"/>
        <w:autoSpaceDN w:val="0"/>
        <w:adjustRightInd w:val="0"/>
        <w:snapToGrid w:val="0"/>
        <w:spacing w:line="360" w:lineRule="auto"/>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[目录由竞选人自行编制]</w:t>
      </w:r>
      <w:bookmarkStart w:id="959" w:name="_Toc224103501"/>
      <w:bookmarkStart w:id="960" w:name="_Toc287607873"/>
      <w:bookmarkStart w:id="961" w:name="_Toc277082648"/>
    </w:p>
    <w:p>
      <w:pPr>
        <w:autoSpaceDE w:val="0"/>
        <w:autoSpaceDN w:val="0"/>
        <w:adjustRightInd w:val="0"/>
        <w:snapToGrid w:val="0"/>
        <w:spacing w:line="360" w:lineRule="auto"/>
        <w:ind w:firstLine="560" w:firstLineChars="200"/>
        <w:jc w:val="left"/>
        <w:rPr>
          <w:rFonts w:ascii="宋体" w:hAnsi="宋体" w:cs="宋体"/>
          <w:color w:val="auto"/>
          <w:sz w:val="28"/>
          <w:highlight w:val="none"/>
        </w:rPr>
      </w:pPr>
      <w:r>
        <w:rPr>
          <w:rFonts w:hint="eastAsia" w:ascii="宋体" w:hAnsi="宋体" w:cs="宋体"/>
          <w:color w:val="auto"/>
          <w:sz w:val="28"/>
          <w:highlight w:val="none"/>
        </w:rPr>
        <w:br w:type="page"/>
      </w:r>
      <w:bookmarkStart w:id="962" w:name="_Toc15154"/>
      <w:bookmarkStart w:id="963" w:name="_Toc416610987"/>
    </w:p>
    <w:p>
      <w:pPr>
        <w:autoSpaceDE w:val="0"/>
        <w:autoSpaceDN w:val="0"/>
        <w:adjustRightInd w:val="0"/>
        <w:snapToGrid w:val="0"/>
        <w:spacing w:line="360" w:lineRule="auto"/>
        <w:ind w:firstLine="562" w:firstLineChars="200"/>
        <w:jc w:val="center"/>
        <w:rPr>
          <w:rFonts w:ascii="宋体" w:hAnsi="宋体" w:cs="宋体"/>
          <w:b/>
          <w:color w:val="auto"/>
          <w:sz w:val="28"/>
          <w:highlight w:val="none"/>
        </w:rPr>
      </w:pPr>
      <w:r>
        <w:rPr>
          <w:rFonts w:hint="eastAsia" w:ascii="宋体" w:hAnsi="宋体" w:cs="宋体"/>
          <w:b/>
          <w:color w:val="auto"/>
          <w:sz w:val="28"/>
          <w:highlight w:val="none"/>
        </w:rPr>
        <w:t>已标价工程量清单</w:t>
      </w:r>
      <w:bookmarkEnd w:id="959"/>
      <w:bookmarkEnd w:id="960"/>
      <w:bookmarkEnd w:id="961"/>
      <w:bookmarkEnd w:id="962"/>
      <w:bookmarkEnd w:id="963"/>
      <w:bookmarkStart w:id="964" w:name="_Toc19345"/>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ind w:firstLine="562" w:firstLineChars="200"/>
        <w:jc w:val="left"/>
        <w:rPr>
          <w:rFonts w:ascii="宋体" w:hAnsi="宋体" w:cs="宋体"/>
          <w:b/>
          <w:color w:val="auto"/>
          <w:sz w:val="28"/>
          <w:highlight w:val="none"/>
        </w:rPr>
      </w:pPr>
    </w:p>
    <w:p>
      <w:pPr>
        <w:autoSpaceDE w:val="0"/>
        <w:autoSpaceDN w:val="0"/>
        <w:adjustRightInd w:val="0"/>
        <w:snapToGrid w:val="0"/>
        <w:spacing w:line="360" w:lineRule="auto"/>
        <w:jc w:val="left"/>
        <w:rPr>
          <w:rFonts w:ascii="宋体" w:hAnsi="宋体" w:cs="宋体"/>
          <w:b/>
          <w:color w:val="auto"/>
          <w:sz w:val="28"/>
          <w:highlight w:val="none"/>
        </w:rPr>
      </w:pPr>
    </w:p>
    <w:p>
      <w:pPr>
        <w:autoSpaceDE w:val="0"/>
        <w:autoSpaceDN w:val="0"/>
        <w:adjustRightInd w:val="0"/>
        <w:snapToGrid w:val="0"/>
        <w:spacing w:line="360" w:lineRule="auto"/>
        <w:ind w:firstLine="420" w:firstLineChars="200"/>
        <w:jc w:val="left"/>
        <w:rPr>
          <w:rFonts w:ascii="宋体" w:hAnsi="宋体" w:cs="宋体"/>
          <w:bCs/>
          <w:color w:val="auto"/>
          <w:highlight w:val="none"/>
        </w:rPr>
      </w:pPr>
    </w:p>
    <w:p>
      <w:pPr>
        <w:autoSpaceDE w:val="0"/>
        <w:autoSpaceDN w:val="0"/>
        <w:adjustRightInd w:val="0"/>
        <w:snapToGrid w:val="0"/>
        <w:spacing w:line="360" w:lineRule="auto"/>
        <w:ind w:firstLine="562" w:firstLineChars="200"/>
        <w:jc w:val="center"/>
        <w:rPr>
          <w:rFonts w:ascii="宋体" w:hAnsi="宋体" w:cs="宋体"/>
          <w:color w:val="auto"/>
          <w:highlight w:val="none"/>
        </w:rPr>
      </w:pPr>
      <w:bookmarkStart w:id="965" w:name="_Toc32074"/>
      <w:bookmarkStart w:id="966" w:name="_Toc31926"/>
      <w:bookmarkStart w:id="967" w:name="_Toc9963"/>
      <w:bookmarkStart w:id="968" w:name="_Toc430206090"/>
      <w:r>
        <w:rPr>
          <w:rFonts w:hint="eastAsia" w:ascii="宋体" w:hAnsi="宋体" w:cs="宋体"/>
          <w:b/>
          <w:color w:val="auto"/>
          <w:sz w:val="28"/>
          <w:highlight w:val="none"/>
        </w:rPr>
        <w:t>三、资格审查资料</w:t>
      </w:r>
      <w:bookmarkEnd w:id="949"/>
      <w:bookmarkEnd w:id="950"/>
      <w:bookmarkEnd w:id="951"/>
      <w:bookmarkEnd w:id="952"/>
      <w:bookmarkEnd w:id="953"/>
      <w:bookmarkEnd w:id="954"/>
      <w:bookmarkEnd w:id="964"/>
      <w:bookmarkEnd w:id="965"/>
      <w:bookmarkEnd w:id="966"/>
      <w:bookmarkEnd w:id="967"/>
      <w:bookmarkEnd w:id="968"/>
    </w:p>
    <w:p>
      <w:pPr>
        <w:tabs>
          <w:tab w:val="left" w:pos="5720"/>
          <w:tab w:val="left" w:pos="5940"/>
        </w:tabs>
        <w:autoSpaceDE w:val="0"/>
        <w:autoSpaceDN w:val="0"/>
        <w:adjustRightInd w:val="0"/>
        <w:snapToGrid w:val="0"/>
        <w:spacing w:line="360" w:lineRule="auto"/>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u w:val="single"/>
        </w:rPr>
        <w:br w:type="page"/>
      </w:r>
      <w:r>
        <w:rPr>
          <w:rFonts w:hint="eastAsia" w:ascii="宋体" w:hAnsi="宋体" w:cs="宋体"/>
          <w:b/>
          <w:color w:val="auto"/>
          <w:kern w:val="0"/>
          <w:sz w:val="28"/>
          <w:szCs w:val="28"/>
          <w:highlight w:val="none"/>
          <w:u w:val="single"/>
        </w:rPr>
        <w:tab/>
      </w:r>
      <w:r>
        <w:rPr>
          <w:rFonts w:hint="eastAsia" w:ascii="宋体" w:hAnsi="宋体" w:cs="宋体"/>
          <w:b/>
          <w:color w:val="auto"/>
          <w:w w:val="99"/>
          <w:kern w:val="0"/>
          <w:sz w:val="28"/>
          <w:szCs w:val="28"/>
          <w:highlight w:val="none"/>
        </w:rPr>
        <w:t>（项目名称</w:t>
      </w:r>
      <w:r>
        <w:rPr>
          <w:rFonts w:hint="eastAsia" w:ascii="宋体" w:hAnsi="宋体" w:cs="宋体"/>
          <w:b/>
          <w:color w:val="auto"/>
          <w:spacing w:val="1"/>
          <w:w w:val="99"/>
          <w:kern w:val="0"/>
          <w:sz w:val="28"/>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宋体"/>
          <w:b/>
          <w:color w:val="auto"/>
          <w:kern w:val="0"/>
          <w:sz w:val="84"/>
          <w:szCs w:val="84"/>
          <w:highlight w:val="none"/>
        </w:rPr>
      </w:pPr>
      <w:r>
        <w:rPr>
          <w:rFonts w:hint="eastAsia" w:ascii="宋体" w:hAnsi="宋体" w:cs="宋体"/>
          <w:b/>
          <w:color w:val="auto"/>
          <w:kern w:val="0"/>
          <w:sz w:val="84"/>
          <w:szCs w:val="84"/>
          <w:highlight w:val="none"/>
        </w:rPr>
        <w:t>竞选文件</w:t>
      </w:r>
    </w:p>
    <w:p>
      <w:pPr>
        <w:autoSpaceDE w:val="0"/>
        <w:autoSpaceDN w:val="0"/>
        <w:adjustRightInd w:val="0"/>
        <w:snapToGrid w:val="0"/>
        <w:spacing w:line="360" w:lineRule="auto"/>
        <w:jc w:val="left"/>
        <w:rPr>
          <w:rFonts w:ascii="宋体" w:hAnsi="宋体" w:cs="宋体"/>
          <w:color w:val="auto"/>
          <w:kern w:val="0"/>
          <w:sz w:val="16"/>
          <w:szCs w:val="16"/>
          <w:highlight w:val="none"/>
        </w:rPr>
      </w:pPr>
    </w:p>
    <w:p>
      <w:pPr>
        <w:autoSpaceDE w:val="0"/>
        <w:autoSpaceDN w:val="0"/>
        <w:adjustRightInd w:val="0"/>
        <w:snapToGrid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资格审查资料</w:t>
      </w: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djustRightInd w:val="0"/>
        <w:snapToGrid w:val="0"/>
        <w:spacing w:line="264" w:lineRule="auto"/>
        <w:ind w:firstLine="630" w:firstLineChars="30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autoSpaceDE w:val="0"/>
        <w:autoSpaceDN w:val="0"/>
        <w:adjustRightInd w:val="0"/>
        <w:snapToGrid w:val="0"/>
        <w:spacing w:line="360" w:lineRule="auto"/>
        <w:jc w:val="left"/>
        <w:rPr>
          <w:rFonts w:ascii="宋体" w:hAnsi="宋体" w:cs="宋体"/>
          <w:color w:val="auto"/>
          <w:kern w:val="0"/>
          <w:sz w:val="20"/>
          <w:szCs w:val="20"/>
          <w:highlight w:val="none"/>
        </w:rPr>
      </w:pPr>
    </w:p>
    <w:p>
      <w:pPr>
        <w:tabs>
          <w:tab w:val="left" w:pos="6080"/>
          <w:tab w:val="left" w:pos="6640"/>
        </w:tabs>
        <w:autoSpaceDE w:val="0"/>
        <w:autoSpaceDN w:val="0"/>
        <w:adjustRightInd w:val="0"/>
        <w:snapToGrid w:val="0"/>
        <w:spacing w:line="360" w:lineRule="auto"/>
        <w:jc w:val="center"/>
        <w:rPr>
          <w:rFonts w:ascii="宋体" w:hAnsi="宋体" w:cs="宋体"/>
          <w:b/>
          <w:color w:val="auto"/>
          <w:w w:val="99"/>
          <w:kern w:val="0"/>
          <w:sz w:val="28"/>
          <w:szCs w:val="28"/>
          <w:highlight w:val="none"/>
        </w:rPr>
      </w:pPr>
      <w:r>
        <w:rPr>
          <w:rFonts w:hint="eastAsia" w:ascii="宋体" w:hAnsi="宋体" w:cs="宋体"/>
          <w:b/>
          <w:color w:val="auto"/>
          <w:w w:val="99"/>
          <w:kern w:val="0"/>
          <w:sz w:val="28"/>
          <w:szCs w:val="28"/>
          <w:highlight w:val="none"/>
        </w:rPr>
        <w:t>竞选人</w:t>
      </w:r>
      <w:r>
        <w:rPr>
          <w:rFonts w:hint="eastAsia" w:ascii="宋体" w:hAnsi="宋体" w:cs="宋体"/>
          <w:b/>
          <w:color w:val="auto"/>
          <w:spacing w:val="1"/>
          <w:w w:val="99"/>
          <w:kern w:val="0"/>
          <w:sz w:val="28"/>
          <w:szCs w:val="28"/>
          <w:highlight w:val="none"/>
        </w:rPr>
        <w:t>：</w:t>
      </w:r>
      <w:r>
        <w:rPr>
          <w:rFonts w:hint="eastAsia" w:ascii="宋体" w:hAnsi="宋体" w:cs="宋体"/>
          <w:b/>
          <w:color w:val="auto"/>
          <w:w w:val="198"/>
          <w:kern w:val="0"/>
          <w:sz w:val="28"/>
          <w:szCs w:val="28"/>
          <w:highlight w:val="none"/>
          <w:u w:val="single"/>
        </w:rPr>
        <w:t xml:space="preserve"> 　　　    　　</w:t>
      </w:r>
      <w:r>
        <w:rPr>
          <w:rFonts w:hint="eastAsia" w:ascii="宋体" w:hAnsi="宋体" w:cs="宋体"/>
          <w:b/>
          <w:color w:val="auto"/>
          <w:w w:val="99"/>
          <w:kern w:val="0"/>
          <w:sz w:val="28"/>
          <w:szCs w:val="28"/>
          <w:highlight w:val="none"/>
        </w:rPr>
        <w:t>（盖单位法人章）</w:t>
      </w:r>
    </w:p>
    <w:p>
      <w:pPr>
        <w:tabs>
          <w:tab w:val="left" w:pos="6080"/>
          <w:tab w:val="left" w:pos="6640"/>
        </w:tabs>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w w:val="99"/>
          <w:kern w:val="0"/>
          <w:sz w:val="28"/>
          <w:szCs w:val="28"/>
          <w:highlight w:val="none"/>
        </w:rPr>
        <w:t>法定代表人或其委托代理人：</w:t>
      </w:r>
      <w:r>
        <w:rPr>
          <w:rFonts w:hint="eastAsia" w:ascii="宋体" w:hAnsi="宋体" w:cs="宋体"/>
          <w:b/>
          <w:color w:val="auto"/>
          <w:w w:val="198"/>
          <w:kern w:val="0"/>
          <w:sz w:val="28"/>
          <w:szCs w:val="28"/>
          <w:highlight w:val="none"/>
          <w:u w:val="single"/>
        </w:rPr>
        <w:t xml:space="preserve"> 　 　　</w:t>
      </w:r>
      <w:r>
        <w:rPr>
          <w:rFonts w:hint="eastAsia" w:ascii="宋体" w:hAnsi="宋体" w:cs="宋体"/>
          <w:b/>
          <w:color w:val="auto"/>
          <w:w w:val="99"/>
          <w:kern w:val="0"/>
          <w:sz w:val="28"/>
          <w:szCs w:val="28"/>
          <w:highlight w:val="none"/>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宋体"/>
          <w:color w:val="auto"/>
          <w:kern w:val="0"/>
          <w:sz w:val="24"/>
          <w:szCs w:val="21"/>
          <w:highlight w:val="none"/>
        </w:rPr>
      </w:pPr>
      <w:r>
        <w:rPr>
          <w:rFonts w:hint="eastAsia" w:ascii="宋体" w:hAnsi="宋体" w:cs="宋体"/>
          <w:b/>
          <w:color w:val="auto"/>
          <w:w w:val="99"/>
          <w:kern w:val="0"/>
          <w:sz w:val="28"/>
          <w:szCs w:val="28"/>
          <w:highlight w:val="none"/>
        </w:rPr>
        <w:t>年月日</w:t>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目    录</w:t>
      </w:r>
    </w:p>
    <w:p>
      <w:pPr>
        <w:jc w:val="center"/>
        <w:rPr>
          <w:rFonts w:ascii="宋体" w:hAnsi="宋体" w:cs="宋体"/>
          <w:b/>
          <w:color w:val="auto"/>
          <w:kern w:val="0"/>
          <w:sz w:val="32"/>
          <w:szCs w:val="32"/>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bookmarkStart w:id="969" w:name="_Toc359497321"/>
      <w:bookmarkStart w:id="970" w:name="_Toc360434968"/>
      <w:bookmarkStart w:id="971" w:name="_Toc362508712"/>
      <w:bookmarkStart w:id="972" w:name="_Toc22715"/>
      <w:bookmarkStart w:id="973" w:name="_Toc364781353"/>
      <w:r>
        <w:rPr>
          <w:rFonts w:hint="eastAsia" w:ascii="宋体" w:hAnsi="宋体" w:cs="宋体"/>
          <w:color w:val="auto"/>
          <w:kern w:val="0"/>
          <w:sz w:val="24"/>
          <w:highlight w:val="none"/>
        </w:rPr>
        <w:t>（一）法定代表人身份证明、授权委托书及项目经理委任书</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（二）竞选人基本情况</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（三）项目管理机构</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（四）近年财务状况表</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（五）近年完成的类似项目情况表</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（六）信誉声明</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（七）其他资料</w:t>
      </w: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40" w:right="-23" w:hanging="240" w:hangingChars="100"/>
        <w:rPr>
          <w:rFonts w:ascii="宋体" w:hAnsi="宋体" w:cs="宋体"/>
          <w:color w:val="auto"/>
          <w:kern w:val="0"/>
          <w:sz w:val="24"/>
          <w:highlight w:val="none"/>
        </w:rPr>
      </w:pPr>
    </w:p>
    <w:p>
      <w:pPr>
        <w:autoSpaceDE w:val="0"/>
        <w:autoSpaceDN w:val="0"/>
        <w:adjustRightInd w:val="0"/>
        <w:spacing w:line="360" w:lineRule="auto"/>
        <w:ind w:left="281" w:right="-23" w:hanging="281" w:hangingChars="100"/>
        <w:jc w:val="center"/>
        <w:outlineLvl w:val="2"/>
        <w:rPr>
          <w:rFonts w:ascii="宋体" w:hAnsi="宋体" w:cs="宋体"/>
          <w:b/>
          <w:color w:val="auto"/>
          <w:sz w:val="28"/>
          <w:highlight w:val="none"/>
        </w:rPr>
      </w:pPr>
      <w:bookmarkStart w:id="974" w:name="_Toc428350437"/>
      <w:bookmarkStart w:id="975" w:name="_Toc430206091"/>
    </w:p>
    <w:p>
      <w:pPr>
        <w:autoSpaceDE w:val="0"/>
        <w:autoSpaceDN w:val="0"/>
        <w:adjustRightInd w:val="0"/>
        <w:spacing w:line="360" w:lineRule="auto"/>
        <w:ind w:left="281" w:right="-23" w:hanging="281" w:hangingChars="100"/>
        <w:jc w:val="center"/>
        <w:outlineLvl w:val="2"/>
        <w:rPr>
          <w:rFonts w:ascii="宋体" w:hAnsi="宋体" w:cs="宋体"/>
          <w:color w:val="auto"/>
          <w:kern w:val="0"/>
          <w:sz w:val="24"/>
          <w:highlight w:val="none"/>
        </w:rPr>
      </w:pPr>
      <w:r>
        <w:rPr>
          <w:rFonts w:hint="eastAsia" w:ascii="宋体" w:hAnsi="宋体" w:cs="宋体"/>
          <w:b/>
          <w:color w:val="auto"/>
          <w:sz w:val="28"/>
          <w:highlight w:val="none"/>
        </w:rPr>
        <w:t>（一）</w:t>
      </w:r>
      <w:bookmarkEnd w:id="969"/>
      <w:bookmarkEnd w:id="970"/>
      <w:bookmarkEnd w:id="971"/>
      <w:r>
        <w:rPr>
          <w:rFonts w:hint="eastAsia" w:ascii="宋体" w:hAnsi="宋体" w:cs="宋体"/>
          <w:b/>
          <w:color w:val="auto"/>
          <w:sz w:val="28"/>
          <w:highlight w:val="none"/>
        </w:rPr>
        <w:t>法定代表人身份证明、授权委托书</w:t>
      </w:r>
      <w:bookmarkEnd w:id="972"/>
      <w:bookmarkEnd w:id="973"/>
      <w:bookmarkEnd w:id="974"/>
      <w:bookmarkEnd w:id="975"/>
      <w:r>
        <w:rPr>
          <w:rFonts w:hint="eastAsia" w:ascii="宋体" w:hAnsi="宋体" w:cs="宋体"/>
          <w:b/>
          <w:color w:val="auto"/>
          <w:sz w:val="28"/>
          <w:highlight w:val="none"/>
        </w:rPr>
        <w:t>及项目经理委任书</w:t>
      </w:r>
    </w:p>
    <w:p>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法定代表人身份证明</w:t>
      </w:r>
    </w:p>
    <w:p>
      <w:pPr>
        <w:rPr>
          <w:rFonts w:ascii="宋体" w:hAnsi="宋体" w:cs="宋体"/>
          <w:color w:val="auto"/>
          <w:sz w:val="24"/>
          <w:highlight w:val="none"/>
        </w:rPr>
      </w:pPr>
    </w:p>
    <w:p>
      <w:pPr>
        <w:tabs>
          <w:tab w:val="left" w:pos="5565"/>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竞选人名称：</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单位性质：</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2520"/>
          <w:tab w:val="left" w:pos="3836"/>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成立时间：</w:t>
      </w: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年</w:t>
      </w: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月</w:t>
      </w:r>
      <w:r>
        <w:rPr>
          <w:rFonts w:hint="eastAsia" w:ascii="宋体" w:hAnsi="宋体" w:cs="宋体"/>
          <w:color w:val="auto"/>
          <w:kern w:val="0"/>
          <w:sz w:val="24"/>
          <w:highlight w:val="none"/>
        </w:rPr>
        <w:t>日</w:t>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经营期限：</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1580"/>
          <w:tab w:val="left" w:pos="3260"/>
          <w:tab w:val="left" w:pos="4840"/>
          <w:tab w:val="left" w:pos="6300"/>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 性别</w:t>
      </w:r>
      <w:r>
        <w:rPr>
          <w:rFonts w:hint="eastAsia" w:ascii="宋体" w:hAnsi="宋体" w:cs="宋体"/>
          <w:color w:val="auto"/>
          <w:spacing w:val="-1"/>
          <w:kern w:val="0"/>
          <w:sz w:val="24"/>
          <w:highlight w:val="none"/>
        </w:rPr>
        <w:t>：</w:t>
      </w: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年</w:t>
      </w:r>
      <w:r>
        <w:rPr>
          <w:rFonts w:hint="eastAsia" w:ascii="宋体" w:hAnsi="宋体" w:cs="宋体"/>
          <w:color w:val="auto"/>
          <w:kern w:val="0"/>
          <w:sz w:val="24"/>
          <w:highlight w:val="none"/>
        </w:rPr>
        <w:t>龄：</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职务：</w:t>
      </w:r>
      <w:r>
        <w:rPr>
          <w:rFonts w:hint="eastAsia" w:ascii="宋体" w:hAnsi="宋体" w:cs="宋体"/>
          <w:color w:val="auto"/>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tabs>
          <w:tab w:val="left" w:pos="3360"/>
        </w:tabs>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 （竞选人名称）的法定代表人。</w:t>
      </w:r>
    </w:p>
    <w:p>
      <w:pPr>
        <w:autoSpaceDE w:val="0"/>
        <w:autoSpaceDN w:val="0"/>
        <w:adjustRightInd w:val="0"/>
        <w:snapToGrid w:val="0"/>
        <w:spacing w:line="440" w:lineRule="exact"/>
        <w:ind w:firstLine="446" w:firstLineChars="186"/>
        <w:jc w:val="left"/>
        <w:rPr>
          <w:rFonts w:ascii="宋体" w:hAnsi="宋体" w:cs="宋体"/>
          <w:color w:val="auto"/>
          <w:kern w:val="0"/>
          <w:sz w:val="24"/>
          <w:highlight w:val="none"/>
        </w:rPr>
      </w:pPr>
    </w:p>
    <w:p>
      <w:pPr>
        <w:autoSpaceDE w:val="0"/>
        <w:autoSpaceDN w:val="0"/>
        <w:adjustRightInd w:val="0"/>
        <w:snapToGrid w:val="0"/>
        <w:spacing w:line="440" w:lineRule="exact"/>
        <w:ind w:firstLine="926" w:firstLineChars="386"/>
        <w:jc w:val="left"/>
        <w:rPr>
          <w:rFonts w:ascii="宋体" w:hAnsi="宋体" w:cs="宋体"/>
          <w:color w:val="auto"/>
          <w:kern w:val="0"/>
          <w:sz w:val="24"/>
          <w:highlight w:val="none"/>
        </w:rPr>
      </w:pPr>
      <w:r>
        <w:rPr>
          <w:rFonts w:hint="eastAsia" w:ascii="宋体" w:hAnsi="宋体" w:cs="宋体"/>
          <w:color w:val="auto"/>
          <w:kern w:val="0"/>
          <w:sz w:val="24"/>
          <w:highlight w:val="none"/>
        </w:rPr>
        <w:t>特此证明。</w:t>
      </w:r>
    </w:p>
    <w:p>
      <w:pPr>
        <w:tabs>
          <w:tab w:val="left" w:pos="5460"/>
        </w:tabs>
        <w:autoSpaceDE w:val="0"/>
        <w:autoSpaceDN w:val="0"/>
        <w:adjustRightInd w:val="0"/>
        <w:snapToGrid w:val="0"/>
        <w:spacing w:line="440" w:lineRule="exact"/>
        <w:ind w:firstLine="2100"/>
        <w:jc w:val="right"/>
        <w:rPr>
          <w:rFonts w:ascii="宋体" w:hAnsi="宋体" w:cs="宋体"/>
          <w:color w:val="auto"/>
          <w:kern w:val="0"/>
          <w:sz w:val="24"/>
          <w:highlight w:val="none"/>
        </w:rPr>
      </w:pPr>
      <w:r>
        <w:rPr>
          <w:rFonts w:hint="eastAsia" w:ascii="宋体" w:hAnsi="宋体" w:cs="宋体"/>
          <w:color w:val="auto"/>
          <w:kern w:val="0"/>
          <w:sz w:val="24"/>
          <w:highlight w:val="none"/>
        </w:rPr>
        <w:t>竞选人：</w:t>
      </w: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w:t>
      </w:r>
      <w:r>
        <w:rPr>
          <w:rFonts w:hint="eastAsia" w:ascii="宋体" w:hAnsi="宋体" w:cs="宋体"/>
          <w:color w:val="auto"/>
          <w:kern w:val="0"/>
          <w:sz w:val="24"/>
          <w:highlight w:val="none"/>
        </w:rPr>
        <w:t>盖单位法人章）</w:t>
      </w:r>
    </w:p>
    <w:p>
      <w:pPr>
        <w:autoSpaceDE w:val="0"/>
        <w:autoSpaceDN w:val="0"/>
        <w:adjustRightInd w:val="0"/>
        <w:snapToGrid w:val="0"/>
        <w:spacing w:line="440" w:lineRule="exact"/>
        <w:jc w:val="left"/>
        <w:rPr>
          <w:rFonts w:ascii="宋体" w:hAnsi="宋体" w:cs="宋体"/>
          <w:color w:val="auto"/>
          <w:kern w:val="0"/>
          <w:sz w:val="24"/>
          <w:highlight w:val="none"/>
        </w:rPr>
      </w:pPr>
    </w:p>
    <w:p>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color w:val="auto"/>
          <w:kern w:val="0"/>
          <w:sz w:val="24"/>
          <w:highlight w:val="none"/>
        </w:rPr>
      </w:pPr>
      <w:r>
        <w:rPr>
          <w:rFonts w:hint="eastAsia" w:ascii="宋体" w:hAnsi="宋体" w:cs="宋体"/>
          <w:color w:val="auto"/>
          <w:kern w:val="0"/>
          <w:sz w:val="24"/>
          <w:highlight w:val="none"/>
          <w:u w:val="single"/>
        </w:rPr>
        <w:tab/>
      </w:r>
      <w:r>
        <w:rPr>
          <w:rFonts w:hint="eastAsia" w:ascii="宋体" w:hAnsi="宋体" w:cs="宋体"/>
          <w:color w:val="auto"/>
          <w:spacing w:val="-1"/>
          <w:kern w:val="0"/>
          <w:sz w:val="24"/>
          <w:highlight w:val="none"/>
        </w:rPr>
        <w:t>年</w:t>
      </w:r>
      <w:r>
        <w:rPr>
          <w:rFonts w:hint="eastAsia" w:ascii="宋体" w:hAnsi="宋体" w:cs="宋体"/>
          <w:color w:val="auto"/>
          <w:kern w:val="0"/>
          <w:sz w:val="24"/>
          <w:highlight w:val="none"/>
        </w:rPr>
        <w:t>月日</w:t>
      </w:r>
    </w:p>
    <w:tbl>
      <w:tblPr>
        <w:tblStyle w:val="30"/>
        <w:tblpPr w:leftFromText="180" w:rightFromText="180" w:vertAnchor="text" w:horzAnchor="page" w:tblpX="3203" w:tblpY="753"/>
        <w:tblW w:w="7116"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558"/>
        <w:gridCol w:w="355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16" w:hRule="atLeast"/>
        </w:trPr>
        <w:tc>
          <w:tcPr>
            <w:tcW w:w="3558"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法定代表人身份证复印件</w:t>
            </w: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（头像面）</w:t>
            </w:r>
          </w:p>
          <w:p>
            <w:pPr>
              <w:spacing w:line="360" w:lineRule="auto"/>
              <w:rPr>
                <w:rFonts w:ascii="宋体" w:hAnsi="宋体" w:cs="宋体"/>
                <w:b/>
                <w:color w:val="auto"/>
                <w:highlight w:val="none"/>
              </w:rPr>
            </w:pPr>
          </w:p>
        </w:tc>
        <w:tc>
          <w:tcPr>
            <w:tcW w:w="3558"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法定代表人身份证复印件</w:t>
            </w: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（国徽面）</w:t>
            </w:r>
          </w:p>
          <w:p>
            <w:pPr>
              <w:spacing w:line="360" w:lineRule="auto"/>
              <w:rPr>
                <w:rFonts w:ascii="宋体" w:hAnsi="宋体" w:cs="宋体"/>
                <w:b/>
                <w:color w:val="auto"/>
                <w:highlight w:val="none"/>
              </w:rPr>
            </w:pPr>
          </w:p>
        </w:tc>
      </w:tr>
    </w:tbl>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kern w:val="0"/>
          <w:sz w:val="24"/>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kern w:val="0"/>
          <w:sz w:val="24"/>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p>
    <w:p>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color w:val="auto"/>
          <w:kern w:val="0"/>
          <w:sz w:val="28"/>
          <w:szCs w:val="28"/>
          <w:highlight w:val="none"/>
        </w:rPr>
      </w:pPr>
      <w:bookmarkStart w:id="976" w:name="_Toc17405"/>
      <w:bookmarkStart w:id="977" w:name="_Toc364781356"/>
      <w:bookmarkStart w:id="978" w:name="_Toc362508715"/>
      <w:bookmarkStart w:id="979" w:name="_Toc224103514"/>
      <w:bookmarkStart w:id="980" w:name="_Toc287607886"/>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授权委托书 </w:t>
      </w:r>
    </w:p>
    <w:p>
      <w:pPr>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（姓名）系（</w:t>
      </w: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 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为我方代理人，联系电话。代理人根据授权，以我方名义签署、澄清、说明、补正、递交、撤回、修改</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名称）施工的竞选文件、签订合同和处理有关事宜，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spacing w:val="-1"/>
          <w:kern w:val="0"/>
          <w:szCs w:val="21"/>
          <w:highlight w:val="none"/>
          <w:u w:val="single"/>
        </w:rPr>
        <w:t>90天</w:t>
      </w:r>
      <w:r>
        <w:rPr>
          <w:rFonts w:hint="eastAsia" w:ascii="宋体" w:hAnsi="宋体" w:cs="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附：法定代表人身份证明。</w:t>
      </w:r>
    </w:p>
    <w:p>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highlight w:val="none"/>
        </w:rPr>
      </w:pPr>
      <w:r>
        <w:rPr>
          <w:rFonts w:hint="eastAsia" w:ascii="宋体" w:hAnsi="宋体" w:cs="宋体"/>
          <w:color w:val="auto"/>
          <w:kern w:val="0"/>
          <w:szCs w:val="21"/>
          <w:highlight w:val="none"/>
        </w:rPr>
        <w:t>竞选人：（盖单位法人章）</w:t>
      </w:r>
    </w:p>
    <w:p>
      <w:pPr>
        <w:tabs>
          <w:tab w:val="left" w:pos="630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pPr>
        <w:tabs>
          <w:tab w:val="left" w:pos="526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pPr>
        <w:tabs>
          <w:tab w:val="left" w:pos="6825"/>
        </w:tabs>
        <w:autoSpaceDE w:val="0"/>
        <w:autoSpaceDN w:val="0"/>
        <w:adjustRightInd w:val="0"/>
        <w:snapToGrid w:val="0"/>
        <w:spacing w:line="360" w:lineRule="auto"/>
        <w:ind w:firstLine="168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pPr>
        <w:tabs>
          <w:tab w:val="left" w:pos="6825"/>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bCs/>
          <w:color w:val="auto"/>
          <w:kern w:val="0"/>
          <w:szCs w:val="21"/>
          <w:highlight w:val="none"/>
        </w:rPr>
        <w:t>社保号码：</w:t>
      </w:r>
      <w:r>
        <w:rPr>
          <w:rFonts w:hint="eastAsia" w:ascii="宋体" w:hAnsi="宋体" w:cs="宋体"/>
          <w:bCs/>
          <w:color w:val="auto"/>
          <w:kern w:val="0"/>
          <w:szCs w:val="21"/>
          <w:highlight w:val="none"/>
          <w:u w:val="single"/>
        </w:rPr>
        <w:tab/>
      </w:r>
    </w:p>
    <w:p>
      <w:pPr>
        <w:tabs>
          <w:tab w:val="left" w:pos="4320"/>
          <w:tab w:val="left" w:pos="5040"/>
        </w:tabs>
        <w:autoSpaceDE w:val="0"/>
        <w:autoSpaceDN w:val="0"/>
        <w:adjustRightInd w:val="0"/>
        <w:snapToGrid w:val="0"/>
        <w:spacing w:line="360" w:lineRule="auto"/>
        <w:ind w:firstLine="378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p>
      <w:pPr>
        <w:rPr>
          <w:rFonts w:ascii="宋体" w:hAnsi="宋体" w:cs="宋体"/>
          <w:vanish/>
          <w:color w:val="auto"/>
          <w:highlight w:val="none"/>
        </w:rPr>
      </w:pPr>
    </w:p>
    <w:tbl>
      <w:tblPr>
        <w:tblStyle w:val="30"/>
        <w:tblpPr w:leftFromText="180" w:rightFromText="180" w:vertAnchor="text" w:horzAnchor="page" w:tblpX="1851" w:tblpY="297"/>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1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委托代理人身份证复印件</w:t>
            </w: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委托代理人身份证复印件</w:t>
            </w: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（国徽面）</w:t>
            </w:r>
          </w:p>
        </w:tc>
      </w:tr>
    </w:tbl>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注：1、法定代表人参加比选活动并签署文件的不需要授权委托书，只需提供法定代表人身份证明；</w:t>
      </w:r>
    </w:p>
    <w:p>
      <w:pPr>
        <w:numPr>
          <w:ilvl w:val="0"/>
          <w:numId w:val="5"/>
        </w:numPr>
        <w:tabs>
          <w:tab w:val="left" w:pos="5760"/>
        </w:tabs>
        <w:autoSpaceDE w:val="0"/>
        <w:autoSpaceDN w:val="0"/>
        <w:adjustRightInd w:val="0"/>
        <w:spacing w:line="340" w:lineRule="exact"/>
        <w:ind w:right="11"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w:t>
      </w:r>
      <w:r>
        <w:rPr>
          <w:rFonts w:hint="eastAsia"/>
          <w:color w:val="auto"/>
          <w:highlight w:val="none"/>
        </w:rPr>
        <w:t>建造师注册证原件</w:t>
      </w:r>
      <w:r>
        <w:rPr>
          <w:rFonts w:hint="eastAsia" w:ascii="宋体" w:hAnsi="宋体" w:cs="宋体"/>
          <w:color w:val="auto"/>
          <w:kern w:val="0"/>
          <w:szCs w:val="21"/>
          <w:highlight w:val="none"/>
        </w:rPr>
        <w:t>；竞选人法定代表人的委托代理人有法定代表人签署的授权委托书（委托代理人必须为本单位人员，至少提供</w:t>
      </w:r>
      <w:r>
        <w:rPr>
          <w:rFonts w:hint="eastAsia" w:ascii="宋体" w:hAnsi="宋体" w:cs="宋体"/>
          <w:b/>
          <w:bCs/>
          <w:color w:val="auto"/>
          <w:kern w:val="0"/>
          <w:szCs w:val="21"/>
          <w:highlight w:val="none"/>
        </w:rPr>
        <w:t>20</w:t>
      </w:r>
      <w:r>
        <w:rPr>
          <w:rFonts w:hint="eastAsia" w:ascii="宋体" w:hAnsi="宋体" w:cs="宋体"/>
          <w:b/>
          <w:bCs/>
          <w:color w:val="auto"/>
          <w:kern w:val="0"/>
          <w:szCs w:val="21"/>
          <w:highlight w:val="none"/>
          <w:lang w:val="en-US" w:eastAsia="zh-CN"/>
        </w:rPr>
        <w:t>19</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月-2020年</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月养老保险证明</w:t>
      </w:r>
      <w:r>
        <w:rPr>
          <w:rFonts w:hint="eastAsia" w:ascii="宋体" w:hAnsi="宋体" w:cs="宋体"/>
          <w:color w:val="auto"/>
          <w:kern w:val="0"/>
          <w:szCs w:val="21"/>
          <w:highlight w:val="none"/>
        </w:rPr>
        <w:t>的复印件），且其授权委托书符合比选文件规定的格式。委托代理人社保证明现场验原件，收复印件，复印件需加盖公章。</w:t>
      </w:r>
    </w:p>
    <w:p>
      <w:pPr>
        <w:tabs>
          <w:tab w:val="left" w:pos="5760"/>
        </w:tabs>
        <w:autoSpaceDE w:val="0"/>
        <w:autoSpaceDN w:val="0"/>
        <w:adjustRightInd w:val="0"/>
        <w:spacing w:line="340" w:lineRule="exact"/>
        <w:ind w:left="420" w:leftChars="200" w:right="11"/>
        <w:rPr>
          <w:rFonts w:ascii="宋体" w:hAnsi="宋体" w:cs="宋体"/>
          <w:color w:val="auto"/>
          <w:kern w:val="0"/>
          <w:szCs w:val="21"/>
          <w:highlight w:val="none"/>
        </w:rPr>
      </w:pPr>
      <w:r>
        <w:rPr>
          <w:rFonts w:hint="eastAsia" w:ascii="宋体" w:hAnsi="宋体" w:cs="宋体"/>
          <w:color w:val="auto"/>
          <w:kern w:val="0"/>
          <w:szCs w:val="21"/>
          <w:highlight w:val="none"/>
        </w:rPr>
        <w:t>社会单位提供社保证明，事业单位提供社保证明或行政主管部门在编证明。</w:t>
      </w:r>
    </w:p>
    <w:p>
      <w:pPr>
        <w:tabs>
          <w:tab w:val="left" w:pos="5760"/>
        </w:tabs>
        <w:autoSpaceDE w:val="0"/>
        <w:autoSpaceDN w:val="0"/>
        <w:adjustRightInd w:val="0"/>
        <w:spacing w:line="340" w:lineRule="exact"/>
        <w:ind w:left="15" w:right="11"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3、中选人在竞选文件有效期限内不得变更项目委托代理人，否则视为放弃中选资格，因不可抗力原因变更项目委托代理人需报行业主管部门备案。</w:t>
      </w:r>
    </w:p>
    <w:p>
      <w:pPr>
        <w:spacing w:line="360" w:lineRule="auto"/>
        <w:jc w:val="center"/>
        <w:rPr>
          <w:rFonts w:ascii="宋体" w:hAnsi="宋体" w:cs="宋体"/>
          <w:b/>
          <w:color w:val="auto"/>
          <w:sz w:val="28"/>
          <w:szCs w:val="36"/>
          <w:highlight w:val="none"/>
        </w:rPr>
      </w:pPr>
      <w:bookmarkStart w:id="981" w:name="_Toc430206092"/>
      <w:r>
        <w:rPr>
          <w:rFonts w:hint="eastAsia" w:ascii="宋体" w:hAnsi="宋体" w:cs="宋体"/>
          <w:b/>
          <w:bCs/>
          <w:color w:val="auto"/>
          <w:sz w:val="32"/>
          <w:szCs w:val="32"/>
          <w:highlight w:val="none"/>
        </w:rPr>
        <w:br w:type="page"/>
      </w:r>
      <w:r>
        <w:rPr>
          <w:rFonts w:hint="eastAsia" w:ascii="宋体" w:hAnsi="宋体" w:cs="宋体"/>
          <w:b/>
          <w:color w:val="auto"/>
          <w:sz w:val="28"/>
          <w:szCs w:val="36"/>
          <w:highlight w:val="none"/>
        </w:rPr>
        <w:t>项目经理委任书</w:t>
      </w:r>
    </w:p>
    <w:p>
      <w:pPr>
        <w:spacing w:line="360" w:lineRule="auto"/>
        <w:rPr>
          <w:rFonts w:ascii="宋体" w:hAnsi="宋体" w:cs="宋体"/>
          <w:color w:val="auto"/>
          <w:szCs w:val="21"/>
          <w:highlight w:val="none"/>
          <w:lang w:val="zh-CN"/>
        </w:rPr>
      </w:pPr>
    </w:p>
    <w:p>
      <w:pPr>
        <w:spacing w:line="360" w:lineRule="auto"/>
        <w:rPr>
          <w:rFonts w:ascii="宋体" w:hAnsi="宋体" w:cs="宋体"/>
          <w:color w:val="auto"/>
          <w:szCs w:val="21"/>
          <w:highlight w:val="none"/>
          <w:lang w:val="zh-CN"/>
        </w:rPr>
      </w:pPr>
    </w:p>
    <w:p>
      <w:pPr>
        <w:rPr>
          <w:rFonts w:ascii="宋体" w:hAnsi="宋体" w:cs="宋体"/>
          <w:color w:val="auto"/>
          <w:szCs w:val="21"/>
          <w:highlight w:val="none"/>
          <w:lang w:val="zh-CN"/>
        </w:rPr>
      </w:pPr>
      <w:r>
        <w:rPr>
          <w:rFonts w:hint="eastAsia" w:ascii="宋体" w:hAnsi="宋体" w:cs="宋体"/>
          <w:color w:val="auto"/>
          <w:szCs w:val="21"/>
          <w:highlight w:val="none"/>
          <w:lang w:val="zh-CN"/>
        </w:rPr>
        <w:t>致：</w:t>
      </w:r>
      <w:r>
        <w:rPr>
          <w:rFonts w:hint="eastAsia" w:ascii="宋体" w:hAnsi="宋体" w:cs="宋体"/>
          <w:color w:val="auto"/>
          <w:szCs w:val="21"/>
          <w:highlight w:val="none"/>
          <w:u w:val="single"/>
        </w:rPr>
        <w:t xml:space="preserve">     （比选人）  </w:t>
      </w:r>
    </w:p>
    <w:p>
      <w:pPr>
        <w:spacing w:line="480" w:lineRule="auto"/>
        <w:ind w:firstLine="210" w:firstLineChars="100"/>
        <w:jc w:val="left"/>
        <w:rPr>
          <w:rFonts w:ascii="宋体" w:hAnsi="宋体" w:cs="宋体"/>
          <w:color w:val="auto"/>
          <w:szCs w:val="21"/>
          <w:highlight w:val="none"/>
          <w:lang w:val="zh-CN"/>
        </w:rPr>
      </w:pP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竞选人名称</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法定代表人</w:t>
      </w:r>
      <w:r>
        <w:rPr>
          <w:rFonts w:hint="eastAsia" w:ascii="宋体" w:hAnsi="宋体" w:cs="宋体"/>
          <w:color w:val="auto"/>
          <w:szCs w:val="21"/>
          <w:highlight w:val="none"/>
          <w:u w:val="single"/>
          <w:lang w:val="zh-CN"/>
        </w:rPr>
        <w:t>（职务、姓名）</w:t>
      </w:r>
      <w:r>
        <w:rPr>
          <w:rFonts w:hint="eastAsia" w:ascii="宋体" w:hAnsi="宋体" w:cs="宋体"/>
          <w:color w:val="auto"/>
          <w:szCs w:val="21"/>
          <w:highlight w:val="none"/>
          <w:lang w:val="zh-CN"/>
        </w:rPr>
        <w:t>代表本单位委任</w:t>
      </w:r>
      <w:r>
        <w:rPr>
          <w:rFonts w:hint="eastAsia" w:ascii="宋体" w:hAnsi="宋体" w:cs="宋体"/>
          <w:color w:val="auto"/>
          <w:szCs w:val="21"/>
          <w:highlight w:val="none"/>
          <w:u w:val="single"/>
          <w:lang w:val="zh-CN"/>
        </w:rPr>
        <w:t>（职务、姓名）</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为</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lang w:val="zh-CN"/>
        </w:rPr>
        <w:t>项目经理。</w:t>
      </w:r>
    </w:p>
    <w:p>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竞选人：（盖单位法人章） </w:t>
      </w:r>
    </w:p>
    <w:p>
      <w:pPr>
        <w:tabs>
          <w:tab w:val="left" w:pos="630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pPr>
        <w:tabs>
          <w:tab w:val="left" w:pos="6945"/>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color w:val="auto"/>
          <w:kern w:val="0"/>
          <w:szCs w:val="21"/>
          <w:highlight w:val="none"/>
        </w:rPr>
        <w:t>项目经理：</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pPr>
        <w:tabs>
          <w:tab w:val="left" w:pos="6825"/>
        </w:tabs>
        <w:autoSpaceDE w:val="0"/>
        <w:autoSpaceDN w:val="0"/>
        <w:adjustRightInd w:val="0"/>
        <w:snapToGrid w:val="0"/>
        <w:spacing w:line="360" w:lineRule="auto"/>
        <w:ind w:firstLine="168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ab/>
      </w:r>
    </w:p>
    <w:p>
      <w:pPr>
        <w:tabs>
          <w:tab w:val="left" w:pos="6825"/>
        </w:tabs>
        <w:autoSpaceDE w:val="0"/>
        <w:autoSpaceDN w:val="0"/>
        <w:adjustRightInd w:val="0"/>
        <w:snapToGrid w:val="0"/>
        <w:spacing w:line="360" w:lineRule="auto"/>
        <w:ind w:firstLine="1680"/>
        <w:jc w:val="left"/>
        <w:rPr>
          <w:rFonts w:ascii="宋体" w:hAnsi="宋体" w:cs="宋体"/>
          <w:color w:val="auto"/>
          <w:kern w:val="0"/>
          <w:szCs w:val="21"/>
          <w:highlight w:val="none"/>
        </w:rPr>
      </w:pPr>
      <w:r>
        <w:rPr>
          <w:rFonts w:hint="eastAsia" w:ascii="宋体" w:hAnsi="宋体" w:cs="宋体"/>
          <w:bCs/>
          <w:color w:val="auto"/>
          <w:kern w:val="0"/>
          <w:szCs w:val="21"/>
          <w:highlight w:val="none"/>
        </w:rPr>
        <w:t>社保号码：</w:t>
      </w:r>
      <w:r>
        <w:rPr>
          <w:rFonts w:hint="eastAsia" w:ascii="宋体" w:hAnsi="宋体" w:cs="宋体"/>
          <w:bCs/>
          <w:color w:val="auto"/>
          <w:kern w:val="0"/>
          <w:szCs w:val="21"/>
          <w:highlight w:val="none"/>
          <w:u w:val="single"/>
        </w:rPr>
        <w:tab/>
      </w:r>
    </w:p>
    <w:p>
      <w:pPr>
        <w:spacing w:line="480" w:lineRule="auto"/>
        <w:jc w:val="center"/>
        <w:rPr>
          <w:rFonts w:ascii="宋体" w:hAnsi="宋体" w:cs="宋体"/>
          <w:color w:val="auto"/>
          <w:szCs w:val="21"/>
          <w:highlight w:val="none"/>
          <w:lang w:val="zh-CN"/>
        </w:rPr>
      </w:pP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tbl>
      <w:tblPr>
        <w:tblStyle w:val="30"/>
        <w:tblpPr w:leftFromText="180" w:rightFromText="180" w:vertAnchor="text" w:horzAnchor="page" w:tblpX="2167" w:tblpY="146"/>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65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项目经理身份证复印件</w:t>
            </w: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color w:val="auto"/>
                <w:highlight w:val="none"/>
              </w:rPr>
            </w:pPr>
            <w:r>
              <w:rPr>
                <w:rFonts w:hint="eastAsia" w:ascii="宋体" w:hAnsi="宋体" w:cs="宋体"/>
                <w:b/>
                <w:color w:val="auto"/>
                <w:highlight w:val="none"/>
              </w:rPr>
              <w:t>项目经理身份证复印件</w:t>
            </w: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jc w:val="center"/>
              <w:rPr>
                <w:rFonts w:ascii="宋体" w:hAnsi="宋体" w:cs="宋体"/>
                <w:b/>
                <w:color w:val="auto"/>
                <w:highlight w:val="none"/>
              </w:rPr>
            </w:pPr>
            <w:r>
              <w:rPr>
                <w:rFonts w:hint="eastAsia" w:ascii="宋体" w:hAnsi="宋体" w:cs="宋体"/>
                <w:b/>
                <w:color w:val="auto"/>
                <w:highlight w:val="none"/>
              </w:rPr>
              <w:t>（国徽面)</w:t>
            </w:r>
          </w:p>
        </w:tc>
      </w:tr>
    </w:tbl>
    <w:p>
      <w:pPr>
        <w:tabs>
          <w:tab w:val="left" w:pos="4005"/>
          <w:tab w:val="left" w:pos="4100"/>
          <w:tab w:val="left" w:pos="5040"/>
        </w:tabs>
        <w:autoSpaceDE w:val="0"/>
        <w:autoSpaceDN w:val="0"/>
        <w:adjustRightInd w:val="0"/>
        <w:snapToGrid w:val="0"/>
        <w:spacing w:line="360" w:lineRule="auto"/>
        <w:jc w:val="left"/>
        <w:rPr>
          <w:rFonts w:ascii="宋体" w:hAnsi="宋体" w:cs="宋体"/>
          <w:color w:val="auto"/>
          <w:szCs w:val="21"/>
          <w:highlight w:val="none"/>
          <w:lang w:val="zh-CN"/>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（二）竞选人基本情况</w:t>
      </w:r>
      <w:bookmarkEnd w:id="981"/>
    </w:p>
    <w:p>
      <w:pPr>
        <w:tabs>
          <w:tab w:val="left" w:pos="5760"/>
        </w:tabs>
        <w:autoSpaceDE w:val="0"/>
        <w:autoSpaceDN w:val="0"/>
        <w:adjustRightInd w:val="0"/>
        <w:spacing w:line="300" w:lineRule="exact"/>
        <w:ind w:right="11" w:firstLine="562" w:firstLineChars="200"/>
        <w:rPr>
          <w:rFonts w:ascii="宋体" w:hAnsi="宋体" w:cs="宋体"/>
          <w:b/>
          <w:color w:val="auto"/>
          <w:kern w:val="0"/>
          <w:sz w:val="28"/>
          <w:szCs w:val="28"/>
          <w:highlight w:val="none"/>
        </w:rPr>
      </w:pPr>
    </w:p>
    <w:p>
      <w:pPr>
        <w:tabs>
          <w:tab w:val="left" w:pos="5760"/>
        </w:tabs>
        <w:autoSpaceDE w:val="0"/>
        <w:autoSpaceDN w:val="0"/>
        <w:adjustRightInd w:val="0"/>
        <w:spacing w:line="300" w:lineRule="exact"/>
        <w:ind w:right="11"/>
        <w:rPr>
          <w:rFonts w:ascii="宋体" w:hAnsi="宋体" w:cs="宋体"/>
          <w:b/>
          <w:color w:val="auto"/>
          <w:kern w:val="0"/>
          <w:sz w:val="28"/>
          <w:szCs w:val="28"/>
          <w:highlight w:val="none"/>
        </w:rPr>
      </w:pPr>
    </w:p>
    <w:bookmarkEnd w:id="976"/>
    <w:tbl>
      <w:tblPr>
        <w:tblStyle w:val="30"/>
        <w:tblpPr w:leftFromText="180" w:rightFromText="180" w:vertAnchor="page" w:horzAnchor="margin" w:tblpY="2148"/>
        <w:tblW w:w="9119" w:type="dxa"/>
        <w:tblInd w:w="0" w:type="dxa"/>
        <w:tblLayout w:type="fixed"/>
        <w:tblCellMar>
          <w:top w:w="0" w:type="dxa"/>
          <w:left w:w="0" w:type="dxa"/>
          <w:bottom w:w="0" w:type="dxa"/>
          <w:right w:w="0" w:type="dxa"/>
        </w:tblCellMar>
      </w:tblPr>
      <w:tblGrid>
        <w:gridCol w:w="1838"/>
        <w:gridCol w:w="956"/>
        <w:gridCol w:w="1013"/>
        <w:gridCol w:w="894"/>
        <w:gridCol w:w="446"/>
        <w:gridCol w:w="102"/>
        <w:gridCol w:w="1376"/>
        <w:gridCol w:w="523"/>
        <w:gridCol w:w="914"/>
        <w:gridCol w:w="1057"/>
      </w:tblGrid>
      <w:tr>
        <w:tblPrEx>
          <w:tblCellMar>
            <w:top w:w="0" w:type="dxa"/>
            <w:left w:w="0" w:type="dxa"/>
            <w:bottom w:w="0" w:type="dxa"/>
            <w:right w:w="0" w:type="dxa"/>
          </w:tblCellMar>
        </w:tblPrEx>
        <w:trPr>
          <w:trHeight w:val="814"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highlight w:val="none"/>
              </w:rPr>
              <w:t>竞选人</w:t>
            </w:r>
            <w:r>
              <w:rPr>
                <w:rFonts w:hint="eastAsia" w:ascii="宋体" w:hAnsi="宋体" w:cs="宋体"/>
                <w:color w:val="auto"/>
                <w:kern w:val="0"/>
                <w:szCs w:val="21"/>
                <w:highlight w:val="none"/>
              </w:rPr>
              <w:t>名称</w:t>
            </w:r>
          </w:p>
        </w:tc>
        <w:tc>
          <w:tcPr>
            <w:tcW w:w="7281"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795"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411"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24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cantSplit/>
          <w:trHeight w:val="644" w:hRule="exact"/>
        </w:trPr>
        <w:tc>
          <w:tcPr>
            <w:tcW w:w="183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45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24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cantSplit/>
          <w:trHeight w:val="636" w:hRule="exact"/>
        </w:trPr>
        <w:tc>
          <w:tcPr>
            <w:tcW w:w="183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956"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传</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真</w:t>
            </w:r>
          </w:p>
        </w:tc>
        <w:tc>
          <w:tcPr>
            <w:tcW w:w="245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网 址</w:t>
            </w:r>
          </w:p>
        </w:tc>
        <w:tc>
          <w:tcPr>
            <w:tcW w:w="24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485"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281"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652"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w:t>
            </w:r>
          </w:p>
        </w:tc>
        <w:tc>
          <w:tcPr>
            <w:tcW w:w="9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0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1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2001"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10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807"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9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0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1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2001"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10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626"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成立时间</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5312"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员工总人数：</w:t>
            </w:r>
          </w:p>
        </w:tc>
      </w:tr>
      <w:tr>
        <w:tblPrEx>
          <w:tblCellMar>
            <w:top w:w="0" w:type="dxa"/>
            <w:left w:w="0" w:type="dxa"/>
            <w:bottom w:w="0" w:type="dxa"/>
            <w:right w:w="0" w:type="dxa"/>
          </w:tblCellMar>
        </w:tblPrEx>
        <w:trPr>
          <w:cantSplit/>
          <w:trHeight w:val="796"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企业资质等级</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其中</w:t>
            </w: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cantSplit/>
          <w:trHeight w:val="792"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营业执照号</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高级职称人员</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cantSplit/>
          <w:trHeight w:val="817"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注册资金</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cantSplit/>
          <w:trHeight w:val="798"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初级职称人员</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cantSplit/>
          <w:trHeight w:val="633"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账号</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24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工</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1126"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281"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r>
        <w:tblPrEx>
          <w:tblCellMar>
            <w:top w:w="0" w:type="dxa"/>
            <w:left w:w="0" w:type="dxa"/>
            <w:bottom w:w="0" w:type="dxa"/>
            <w:right w:w="0" w:type="dxa"/>
          </w:tblCellMar>
        </w:tblPrEx>
        <w:trPr>
          <w:trHeight w:val="773"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7281"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Cs w:val="21"/>
                <w:highlight w:val="none"/>
              </w:rPr>
            </w:pPr>
          </w:p>
        </w:tc>
      </w:tr>
    </w:tbl>
    <w:p>
      <w:pPr>
        <w:tabs>
          <w:tab w:val="left" w:pos="1680"/>
          <w:tab w:val="left" w:pos="4215"/>
          <w:tab w:val="left" w:pos="4305"/>
          <w:tab w:val="left" w:pos="8000"/>
        </w:tabs>
        <w:autoSpaceDE w:val="0"/>
        <w:autoSpaceDN w:val="0"/>
        <w:adjustRightInd w:val="0"/>
        <w:snapToGrid w:val="0"/>
        <w:spacing w:line="440" w:lineRule="exact"/>
        <w:rPr>
          <w:rFonts w:ascii="宋体" w:hAnsi="宋体" w:cs="宋体"/>
          <w:color w:val="auto"/>
          <w:kern w:val="0"/>
          <w:szCs w:val="21"/>
          <w:highlight w:val="none"/>
        </w:rPr>
      </w:pPr>
      <w:bookmarkStart w:id="982" w:name="_Toc18714"/>
      <w:bookmarkStart w:id="983" w:name="_Toc359497323"/>
      <w:bookmarkStart w:id="984" w:name="_Toc28268"/>
    </w:p>
    <w:p>
      <w:pPr>
        <w:pStyle w:val="4"/>
        <w:jc w:val="center"/>
        <w:rPr>
          <w:rFonts w:ascii="宋体" w:hAnsi="宋体" w:cs="宋体"/>
          <w:color w:val="auto"/>
          <w:highlight w:val="none"/>
        </w:rPr>
      </w:pPr>
      <w:bookmarkStart w:id="985" w:name="_Toc428350439"/>
      <w:bookmarkStart w:id="986" w:name="_Toc430206093"/>
    </w:p>
    <w:p>
      <w:pPr>
        <w:pStyle w:val="4"/>
        <w:jc w:val="center"/>
        <w:rPr>
          <w:rFonts w:ascii="宋体" w:hAnsi="宋体" w:cs="宋体"/>
          <w:color w:val="auto"/>
          <w:highlight w:val="none"/>
        </w:rPr>
      </w:pPr>
      <w:r>
        <w:rPr>
          <w:rFonts w:hint="eastAsia" w:ascii="宋体" w:hAnsi="宋体" w:cs="宋体"/>
          <w:color w:val="auto"/>
          <w:highlight w:val="none"/>
        </w:rPr>
        <w:t>（三）项目管理机构</w:t>
      </w:r>
      <w:bookmarkEnd w:id="982"/>
      <w:bookmarkEnd w:id="983"/>
      <w:bookmarkEnd w:id="984"/>
      <w:bookmarkEnd w:id="985"/>
      <w:bookmarkEnd w:id="986"/>
    </w:p>
    <w:p>
      <w:pPr>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项目管理机构组成表</w:t>
      </w:r>
    </w:p>
    <w:tbl>
      <w:tblPr>
        <w:tblStyle w:val="30"/>
        <w:tblW w:w="8573" w:type="dxa"/>
        <w:tblInd w:w="112" w:type="dxa"/>
        <w:tblLayout w:type="fixed"/>
        <w:tblCellMar>
          <w:top w:w="0" w:type="dxa"/>
          <w:left w:w="0" w:type="dxa"/>
          <w:bottom w:w="0" w:type="dxa"/>
          <w:right w:w="0" w:type="dxa"/>
        </w:tblCellMar>
      </w:tblPr>
      <w:tblGrid>
        <w:gridCol w:w="651"/>
        <w:gridCol w:w="725"/>
        <w:gridCol w:w="723"/>
        <w:gridCol w:w="1087"/>
        <w:gridCol w:w="723"/>
        <w:gridCol w:w="725"/>
        <w:gridCol w:w="723"/>
        <w:gridCol w:w="2540"/>
        <w:gridCol w:w="676"/>
      </w:tblGrid>
      <w:tr>
        <w:tblPrEx>
          <w:tblCellMar>
            <w:top w:w="0" w:type="dxa"/>
            <w:left w:w="0" w:type="dxa"/>
            <w:bottom w:w="0" w:type="dxa"/>
            <w:right w:w="0" w:type="dxa"/>
          </w:tblCellMar>
        </w:tblPrEx>
        <w:trPr>
          <w:cantSplit/>
          <w:trHeight w:val="399" w:hRule="exact"/>
        </w:trPr>
        <w:tc>
          <w:tcPr>
            <w:tcW w:w="65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职务</w:t>
            </w:r>
          </w:p>
        </w:tc>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姓名</w:t>
            </w:r>
          </w:p>
        </w:tc>
        <w:tc>
          <w:tcPr>
            <w:tcW w:w="72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职称</w:t>
            </w:r>
          </w:p>
        </w:tc>
        <w:tc>
          <w:tcPr>
            <w:tcW w:w="5798"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执业或职业资格证明</w:t>
            </w:r>
          </w:p>
        </w:tc>
        <w:tc>
          <w:tcPr>
            <w:tcW w:w="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r>
      <w:tr>
        <w:tblPrEx>
          <w:tblCellMar>
            <w:top w:w="0" w:type="dxa"/>
            <w:left w:w="0" w:type="dxa"/>
            <w:bottom w:w="0" w:type="dxa"/>
            <w:right w:w="0" w:type="dxa"/>
          </w:tblCellMar>
        </w:tblPrEx>
        <w:trPr>
          <w:cantSplit/>
          <w:trHeight w:val="848" w:hRule="exact"/>
        </w:trPr>
        <w:tc>
          <w:tcPr>
            <w:tcW w:w="65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证书名称</w:t>
            </w:r>
          </w:p>
        </w:tc>
        <w:tc>
          <w:tcPr>
            <w:tcW w:w="7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级别</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证号</w:t>
            </w:r>
          </w:p>
        </w:tc>
        <w:tc>
          <w:tcPr>
            <w:tcW w:w="7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专业</w:t>
            </w:r>
          </w:p>
        </w:tc>
        <w:tc>
          <w:tcPr>
            <w:tcW w:w="2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养老保险</w:t>
            </w: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bl>
    <w:p>
      <w:pPr>
        <w:spacing w:before="240"/>
        <w:rPr>
          <w:rFonts w:ascii="宋体" w:hAnsi="宋体" w:cs="宋体"/>
          <w:color w:val="auto"/>
          <w:highlight w:val="none"/>
        </w:rPr>
      </w:pPr>
    </w:p>
    <w:p>
      <w:pPr>
        <w:jc w:val="center"/>
        <w:rPr>
          <w:rFonts w:ascii="宋体" w:hAnsi="宋体" w:cs="宋体"/>
          <w:color w:val="auto"/>
          <w:highlight w:val="none"/>
          <w:u w:val="single"/>
        </w:rPr>
      </w:pPr>
      <w:r>
        <w:rPr>
          <w:rFonts w:hint="eastAsia" w:ascii="宋体" w:hAnsi="宋体" w:cs="宋体"/>
          <w:color w:val="auto"/>
          <w:highlight w:val="none"/>
        </w:rPr>
        <w:br w:type="page"/>
      </w:r>
      <w:bookmarkStart w:id="987" w:name="_Toc277082659"/>
      <w:bookmarkStart w:id="988" w:name="_Toc287607887"/>
      <w:r>
        <w:rPr>
          <w:rFonts w:hint="eastAsia" w:ascii="宋体" w:hAnsi="宋体" w:cs="宋体"/>
          <w:b/>
          <w:color w:val="auto"/>
          <w:sz w:val="28"/>
          <w:szCs w:val="28"/>
          <w:highlight w:val="none"/>
        </w:rPr>
        <w:t>主要管理人员简历</w:t>
      </w:r>
      <w:bookmarkEnd w:id="987"/>
      <w:bookmarkEnd w:id="988"/>
      <w:r>
        <w:rPr>
          <w:rFonts w:hint="eastAsia" w:ascii="宋体" w:hAnsi="宋体" w:cs="宋体"/>
          <w:b/>
          <w:color w:val="auto"/>
          <w:sz w:val="28"/>
          <w:szCs w:val="28"/>
          <w:highlight w:val="none"/>
        </w:rPr>
        <w:t>表</w:t>
      </w:r>
    </w:p>
    <w:p>
      <w:pPr>
        <w:rPr>
          <w:rFonts w:ascii="宋体" w:hAnsi="宋体" w:cs="宋体"/>
          <w:color w:val="auto"/>
          <w:highlight w:val="none"/>
        </w:rPr>
      </w:pPr>
    </w:p>
    <w:tbl>
      <w:tblPr>
        <w:tblStyle w:val="30"/>
        <w:tblW w:w="8523" w:type="dxa"/>
        <w:tblInd w:w="112"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姓</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年  龄</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职</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职  务</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年</w:t>
            </w:r>
            <w:r>
              <w:rPr>
                <w:rFonts w:hint="eastAsia" w:ascii="宋体" w:hAnsi="宋体" w:cs="宋体"/>
                <w:color w:val="auto"/>
                <w:spacing w:val="-1"/>
                <w:kern w:val="0"/>
                <w:szCs w:val="21"/>
                <w:highlight w:val="none"/>
              </w:rPr>
              <w:t>毕</w:t>
            </w:r>
            <w:r>
              <w:rPr>
                <w:rFonts w:hint="eastAsia" w:ascii="宋体" w:hAnsi="宋体" w:cs="宋体"/>
                <w:color w:val="auto"/>
                <w:kern w:val="0"/>
                <w:szCs w:val="21"/>
                <w:highlight w:val="none"/>
              </w:rPr>
              <w:t>业于</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学校</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专业</w:t>
            </w:r>
          </w:p>
        </w:tc>
      </w:tr>
      <w:tr>
        <w:tblPrEx>
          <w:tblCellMar>
            <w:top w:w="0" w:type="dxa"/>
            <w:left w:w="0" w:type="dxa"/>
            <w:bottom w:w="0" w:type="dxa"/>
            <w:right w:w="0" w:type="dxa"/>
          </w:tblCellMar>
        </w:tblPrEx>
        <w:trPr>
          <w:trHeight w:val="450" w:hRule="exac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主要工作经历</w:t>
            </w:r>
          </w:p>
        </w:tc>
      </w:tr>
      <w:tr>
        <w:tblPrEx>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时</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Cs w:val="21"/>
                <w:highlight w:val="none"/>
              </w:rPr>
              <w:t>比选人及联系电话</w:t>
            </w: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color w:val="auto"/>
                <w:kern w:val="0"/>
                <w:sz w:val="24"/>
                <w:highlight w:val="none"/>
              </w:rPr>
            </w:pPr>
          </w:p>
        </w:tc>
      </w:tr>
    </w:tbl>
    <w:p>
      <w:pPr>
        <w:rPr>
          <w:rFonts w:ascii="宋体" w:hAnsi="宋体" w:cs="宋体"/>
          <w:color w:val="auto"/>
          <w:highlight w:val="none"/>
        </w:rPr>
      </w:pPr>
      <w:bookmarkStart w:id="989" w:name="_Toc224103515"/>
    </w:p>
    <w:bookmarkEnd w:id="977"/>
    <w:bookmarkEnd w:id="978"/>
    <w:bookmarkEnd w:id="979"/>
    <w:bookmarkEnd w:id="980"/>
    <w:bookmarkEnd w:id="989"/>
    <w:p>
      <w:pPr>
        <w:spacing w:before="240"/>
        <w:rPr>
          <w:rFonts w:ascii="宋体" w:hAnsi="宋体" w:cs="宋体"/>
          <w:b/>
          <w:bCs/>
          <w:color w:val="auto"/>
          <w:sz w:val="32"/>
          <w:szCs w:val="32"/>
          <w:highlight w:val="none"/>
        </w:rPr>
      </w:pPr>
      <w:bookmarkStart w:id="990" w:name="_Toc32047"/>
      <w:bookmarkEnd w:id="990"/>
      <w:bookmarkStart w:id="991" w:name="_Toc467693308"/>
      <w:bookmarkStart w:id="992" w:name="_Toc464575955"/>
      <w:bookmarkStart w:id="993" w:name="_Toc464142303"/>
      <w:bookmarkStart w:id="994" w:name="_Toc144974880"/>
      <w:bookmarkStart w:id="995" w:name="_Toc247527852"/>
      <w:bookmarkStart w:id="996" w:name="_Toc152042601"/>
      <w:bookmarkStart w:id="997" w:name="_Toc152045812"/>
      <w:bookmarkStart w:id="998" w:name="_Toc247514304"/>
      <w:bookmarkStart w:id="999" w:name="_Toc287620838"/>
      <w:bookmarkStart w:id="1000" w:name="_Toc28323"/>
      <w:bookmarkStart w:id="1001" w:name="_Toc29754"/>
      <w:bookmarkStart w:id="1002" w:name="_Toc287607892"/>
      <w:bookmarkStart w:id="1003" w:name="_Toc359497325"/>
      <w:bookmarkStart w:id="1004" w:name="_Toc364781359"/>
      <w:bookmarkStart w:id="1005" w:name="_Toc362508718"/>
    </w:p>
    <w:p>
      <w:pPr>
        <w:spacing w:before="2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（四）</w:t>
      </w:r>
      <w:bookmarkEnd w:id="991"/>
      <w:bookmarkEnd w:id="992"/>
      <w:bookmarkEnd w:id="993"/>
      <w:bookmarkEnd w:id="994"/>
      <w:bookmarkEnd w:id="995"/>
      <w:bookmarkEnd w:id="996"/>
      <w:bookmarkEnd w:id="997"/>
      <w:bookmarkEnd w:id="998"/>
      <w:r>
        <w:rPr>
          <w:rFonts w:hint="eastAsia" w:ascii="宋体" w:hAnsi="宋体" w:cs="宋体"/>
          <w:b/>
          <w:bCs/>
          <w:color w:val="auto"/>
          <w:sz w:val="32"/>
          <w:szCs w:val="32"/>
          <w:highlight w:val="none"/>
        </w:rPr>
        <w:t>近年财务状况表</w:t>
      </w: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color w:val="auto"/>
          <w:highlight w:val="none"/>
        </w:rPr>
      </w:pPr>
    </w:p>
    <w:p>
      <w:pPr>
        <w:spacing w:before="240"/>
        <w:jc w:val="center"/>
        <w:rPr>
          <w:rFonts w:ascii="宋体" w:hAnsi="宋体" w:cs="宋体"/>
          <w:b/>
          <w:bCs/>
          <w:color w:val="auto"/>
          <w:highlight w:val="none"/>
        </w:rPr>
      </w:pPr>
    </w:p>
    <w:p>
      <w:pPr>
        <w:pStyle w:val="4"/>
        <w:spacing w:before="0" w:line="240" w:lineRule="auto"/>
        <w:jc w:val="center"/>
        <w:rPr>
          <w:rFonts w:ascii="宋体" w:hAnsi="宋体"/>
          <w:bCs w:val="0"/>
          <w:color w:val="auto"/>
          <w:highlight w:val="none"/>
        </w:rPr>
      </w:pPr>
      <w:bookmarkStart w:id="1006" w:name="_Toc467693309"/>
      <w:r>
        <w:rPr>
          <w:rFonts w:hint="eastAsia" w:ascii="宋体" w:hAnsi="宋体" w:cs="宋体"/>
          <w:color w:val="auto"/>
          <w:highlight w:val="none"/>
        </w:rPr>
        <w:br w:type="page"/>
      </w:r>
      <w:bookmarkEnd w:id="999"/>
      <w:bookmarkEnd w:id="1006"/>
      <w:bookmarkStart w:id="1007" w:name="_Toc287607893"/>
      <w:bookmarkStart w:id="1008" w:name="_Toc224103520"/>
      <w:bookmarkStart w:id="1009" w:name="_Toc287620839"/>
      <w:bookmarkStart w:id="1010" w:name="_Toc359497326"/>
      <w:bookmarkStart w:id="1011" w:name="_Toc277082663"/>
      <w:r>
        <w:rPr>
          <w:rFonts w:hint="eastAsia" w:ascii="宋体" w:hAnsi="宋体" w:cs="宋体"/>
          <w:color w:val="auto"/>
          <w:highlight w:val="none"/>
        </w:rPr>
        <w:t>（五）</w:t>
      </w:r>
      <w:bookmarkEnd w:id="1000"/>
      <w:bookmarkEnd w:id="1001"/>
      <w:bookmarkEnd w:id="1007"/>
      <w:bookmarkEnd w:id="1008"/>
      <w:bookmarkEnd w:id="1009"/>
      <w:bookmarkEnd w:id="1010"/>
      <w:bookmarkEnd w:id="1011"/>
      <w:r>
        <w:rPr>
          <w:rFonts w:ascii="宋体" w:hAnsi="宋体"/>
          <w:bCs w:val="0"/>
          <w:color w:val="auto"/>
          <w:highlight w:val="none"/>
        </w:rPr>
        <w:t>近年完成的类似项目情况表</w:t>
      </w:r>
    </w:p>
    <w:tbl>
      <w:tblPr>
        <w:tblStyle w:val="30"/>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开工日期</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竣工日期</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项目经理</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技术负责人</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总监理工程师及电话</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bl>
    <w:p>
      <w:pPr>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pStyle w:val="28"/>
        <w:ind w:firstLine="321"/>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（六）信誉声明</w:t>
      </w:r>
    </w:p>
    <w:p>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Style w:val="28"/>
        <w:ind w:firstLine="321"/>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（七）其他资料</w:t>
      </w:r>
    </w:p>
    <w:p>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Style w:val="28"/>
        <w:ind w:firstLine="321"/>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四、技术部分</w:t>
      </w:r>
    </w:p>
    <w:bookmarkEnd w:id="1002"/>
    <w:bookmarkEnd w:id="1003"/>
    <w:bookmarkEnd w:id="1004"/>
    <w:bookmarkEnd w:id="1005"/>
    <w:p>
      <w:pPr>
        <w:rPr>
          <w:color w:val="auto"/>
          <w:highlight w:val="none"/>
        </w:rPr>
      </w:pPr>
    </w:p>
    <w:sectPr>
      <w:headerReference r:id="rId9" w:type="default"/>
      <w:footerReference r:id="rId10" w:type="default"/>
      <w:pgSz w:w="11906" w:h="16838"/>
      <w:pgMar w:top="1134" w:right="1304" w:bottom="1134" w:left="1304" w:header="851" w:footer="992" w:gutter="0"/>
      <w:paperSrc w:first="7" w:other="7"/>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SECTIONPAGES \* MERGEFORMAT </w:instrText>
                </w:r>
                <w:r>
                  <w:fldChar w:fldCharType="separate"/>
                </w:r>
                <w:r>
                  <w:t>92</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ECE87"/>
    <w:multiLevelType w:val="singleLevel"/>
    <w:tmpl w:val="A86ECE87"/>
    <w:lvl w:ilvl="0" w:tentative="0">
      <w:start w:val="2"/>
      <w:numFmt w:val="decimal"/>
      <w:suff w:val="nothing"/>
      <w:lvlText w:val="%1、"/>
      <w:lvlJc w:val="left"/>
    </w:lvl>
  </w:abstractNum>
  <w:abstractNum w:abstractNumId="1">
    <w:nsid w:val="E032FF01"/>
    <w:multiLevelType w:val="singleLevel"/>
    <w:tmpl w:val="E032FF01"/>
    <w:lvl w:ilvl="0" w:tentative="0">
      <w:start w:val="1"/>
      <w:numFmt w:val="decimal"/>
      <w:suff w:val="nothing"/>
      <w:lvlText w:val="（%1）"/>
      <w:lvlJc w:val="left"/>
    </w:lvl>
  </w:abstractNum>
  <w:abstractNum w:abstractNumId="2">
    <w:nsid w:val="0000000A"/>
    <w:multiLevelType w:val="singleLevel"/>
    <w:tmpl w:val="0000000A"/>
    <w:lvl w:ilvl="0" w:tentative="0">
      <w:start w:val="2"/>
      <w:numFmt w:val="decimal"/>
      <w:suff w:val="nothing"/>
      <w:lvlText w:val="%1、"/>
      <w:lvlJc w:val="left"/>
      <w:rPr>
        <w:rFonts w:cs="Times New Roman"/>
      </w:rPr>
    </w:lvl>
  </w:abstractNum>
  <w:abstractNum w:abstractNumId="3">
    <w:nsid w:val="062C858E"/>
    <w:multiLevelType w:val="singleLevel"/>
    <w:tmpl w:val="062C858E"/>
    <w:lvl w:ilvl="0" w:tentative="0">
      <w:start w:val="3"/>
      <w:numFmt w:val="decimal"/>
      <w:lvlText w:val="%1."/>
      <w:lvlJc w:val="left"/>
      <w:pPr>
        <w:tabs>
          <w:tab w:val="left" w:pos="312"/>
        </w:tabs>
      </w:pPr>
    </w:lvl>
  </w:abstractNum>
  <w:abstractNum w:abstractNumId="4">
    <w:nsid w:val="56CEBD47"/>
    <w:multiLevelType w:val="singleLevel"/>
    <w:tmpl w:val="56CEBD47"/>
    <w:lvl w:ilvl="0" w:tentative="0">
      <w:start w:val="4"/>
      <w:numFmt w:val="decimal"/>
      <w:suff w:val="nothing"/>
      <w:lvlText w:val="%1．"/>
      <w:lvlJc w:val="left"/>
    </w:lvl>
  </w:abstractNum>
  <w:abstractNum w:abstractNumId="5">
    <w:nsid w:val="590EDF70"/>
    <w:multiLevelType w:val="singleLevel"/>
    <w:tmpl w:val="590EDF70"/>
    <w:lvl w:ilvl="0" w:tentative="0">
      <w:start w:val="2"/>
      <w:numFmt w:val="chineseCounting"/>
      <w:suff w:val="nothing"/>
      <w:lvlText w:val="%1、"/>
      <w:lvlJc w:val="left"/>
    </w:lvl>
  </w:abstractNum>
  <w:abstractNum w:abstractNumId="6">
    <w:nsid w:val="59117CAD"/>
    <w:multiLevelType w:val="singleLevel"/>
    <w:tmpl w:val="59117CAD"/>
    <w:lvl w:ilvl="0" w:tentative="0">
      <w:start w:val="2"/>
      <w:numFmt w:val="decimal"/>
      <w:suff w:val="nothing"/>
      <w:lvlText w:val="%1、"/>
      <w:lvlJc w:val="left"/>
    </w:lvl>
  </w:abstractNum>
  <w:abstractNum w:abstractNumId="7">
    <w:nsid w:val="593DF483"/>
    <w:multiLevelType w:val="singleLevel"/>
    <w:tmpl w:val="593DF483"/>
    <w:lvl w:ilvl="0" w:tentative="0">
      <w:start w:val="3"/>
      <w:numFmt w:val="decimal"/>
      <w:suff w:val="nothing"/>
      <w:lvlText w:val="%1、"/>
      <w:lvlJc w:val="left"/>
    </w:lvl>
  </w:abstractNum>
  <w:abstractNum w:abstractNumId="8">
    <w:nsid w:val="5A5EED76"/>
    <w:multiLevelType w:val="singleLevel"/>
    <w:tmpl w:val="5A5EED76"/>
    <w:lvl w:ilvl="0" w:tentative="0">
      <w:start w:val="2"/>
      <w:numFmt w:val="decimal"/>
      <w:suff w:val="nothing"/>
      <w:lvlText w:val="（%1）"/>
      <w:lvlJc w:val="left"/>
    </w:lvl>
  </w:abstractNum>
  <w:abstractNum w:abstractNumId="9">
    <w:nsid w:val="5A659516"/>
    <w:multiLevelType w:val="singleLevel"/>
    <w:tmpl w:val="5A659516"/>
    <w:lvl w:ilvl="0" w:tentative="0">
      <w:start w:val="1"/>
      <w:numFmt w:val="decimal"/>
      <w:suff w:val="nothing"/>
      <w:lvlText w:val="%1、"/>
      <w:lvlJc w:val="left"/>
    </w:lvl>
  </w:abstractNum>
  <w:num w:numId="1">
    <w:abstractNumId w:val="8"/>
  </w:num>
  <w:num w:numId="2">
    <w:abstractNumId w:val="3"/>
  </w:num>
  <w:num w:numId="3">
    <w:abstractNumId w:val="1"/>
  </w:num>
  <w:num w:numId="4">
    <w:abstractNumId w:val="0"/>
  </w:num>
  <w:num w:numId="5">
    <w:abstractNumId w:val="6"/>
  </w:num>
  <w:num w:numId="6">
    <w:abstractNumId w:val="9"/>
  </w:num>
  <w:num w:numId="7">
    <w:abstractNumId w:val="2"/>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519"/>
    <w:rsid w:val="000050F0"/>
    <w:rsid w:val="00007B94"/>
    <w:rsid w:val="000544B5"/>
    <w:rsid w:val="00054B55"/>
    <w:rsid w:val="00055A8D"/>
    <w:rsid w:val="00060063"/>
    <w:rsid w:val="00060F1F"/>
    <w:rsid w:val="00062747"/>
    <w:rsid w:val="00063884"/>
    <w:rsid w:val="00071E12"/>
    <w:rsid w:val="00072528"/>
    <w:rsid w:val="00074C35"/>
    <w:rsid w:val="000817C7"/>
    <w:rsid w:val="00084495"/>
    <w:rsid w:val="0008599A"/>
    <w:rsid w:val="00094B40"/>
    <w:rsid w:val="00097DA4"/>
    <w:rsid w:val="00097F0A"/>
    <w:rsid w:val="000A081C"/>
    <w:rsid w:val="000A1380"/>
    <w:rsid w:val="000A26D1"/>
    <w:rsid w:val="000A3495"/>
    <w:rsid w:val="000A4F1D"/>
    <w:rsid w:val="000A7646"/>
    <w:rsid w:val="000B32EE"/>
    <w:rsid w:val="000B350E"/>
    <w:rsid w:val="000B3BBC"/>
    <w:rsid w:val="000B4B0A"/>
    <w:rsid w:val="000B5AF9"/>
    <w:rsid w:val="000B65ED"/>
    <w:rsid w:val="000C0E3B"/>
    <w:rsid w:val="000C75B0"/>
    <w:rsid w:val="000E0580"/>
    <w:rsid w:val="000F0CA6"/>
    <w:rsid w:val="000F22D3"/>
    <w:rsid w:val="000F22EE"/>
    <w:rsid w:val="00100862"/>
    <w:rsid w:val="00100DB1"/>
    <w:rsid w:val="00100FCE"/>
    <w:rsid w:val="00107CD6"/>
    <w:rsid w:val="001101C7"/>
    <w:rsid w:val="001104C1"/>
    <w:rsid w:val="00111C53"/>
    <w:rsid w:val="00117559"/>
    <w:rsid w:val="001204C0"/>
    <w:rsid w:val="00121C8A"/>
    <w:rsid w:val="00122A6D"/>
    <w:rsid w:val="00123F42"/>
    <w:rsid w:val="00124384"/>
    <w:rsid w:val="001243E7"/>
    <w:rsid w:val="00132DDD"/>
    <w:rsid w:val="001340B0"/>
    <w:rsid w:val="0013500A"/>
    <w:rsid w:val="00135E72"/>
    <w:rsid w:val="0013739A"/>
    <w:rsid w:val="001375E3"/>
    <w:rsid w:val="001404D7"/>
    <w:rsid w:val="00141FF2"/>
    <w:rsid w:val="00153451"/>
    <w:rsid w:val="001659FD"/>
    <w:rsid w:val="001670C3"/>
    <w:rsid w:val="00172A27"/>
    <w:rsid w:val="0017743E"/>
    <w:rsid w:val="0018259F"/>
    <w:rsid w:val="001851DC"/>
    <w:rsid w:val="001906CE"/>
    <w:rsid w:val="001925B7"/>
    <w:rsid w:val="00197CE8"/>
    <w:rsid w:val="001A2A68"/>
    <w:rsid w:val="001A597D"/>
    <w:rsid w:val="001B09A0"/>
    <w:rsid w:val="001B0A80"/>
    <w:rsid w:val="001B1694"/>
    <w:rsid w:val="001B1B07"/>
    <w:rsid w:val="001B377F"/>
    <w:rsid w:val="001B525A"/>
    <w:rsid w:val="001C16C8"/>
    <w:rsid w:val="001C2E29"/>
    <w:rsid w:val="001C7C3B"/>
    <w:rsid w:val="001D78EF"/>
    <w:rsid w:val="001D7D3F"/>
    <w:rsid w:val="001E1310"/>
    <w:rsid w:val="001E2A5E"/>
    <w:rsid w:val="001E35C2"/>
    <w:rsid w:val="001F082C"/>
    <w:rsid w:val="001F5615"/>
    <w:rsid w:val="002054C1"/>
    <w:rsid w:val="00211C6F"/>
    <w:rsid w:val="002160A2"/>
    <w:rsid w:val="0022078A"/>
    <w:rsid w:val="002211DF"/>
    <w:rsid w:val="00225663"/>
    <w:rsid w:val="00235D3F"/>
    <w:rsid w:val="00241F1F"/>
    <w:rsid w:val="00242D30"/>
    <w:rsid w:val="00244DA2"/>
    <w:rsid w:val="00247AAF"/>
    <w:rsid w:val="00254356"/>
    <w:rsid w:val="002558D1"/>
    <w:rsid w:val="00261C77"/>
    <w:rsid w:val="0026460B"/>
    <w:rsid w:val="00264818"/>
    <w:rsid w:val="00267C5F"/>
    <w:rsid w:val="00270440"/>
    <w:rsid w:val="00271312"/>
    <w:rsid w:val="00274F7C"/>
    <w:rsid w:val="00281CB4"/>
    <w:rsid w:val="00284D09"/>
    <w:rsid w:val="00285F0B"/>
    <w:rsid w:val="00285F9F"/>
    <w:rsid w:val="0028729E"/>
    <w:rsid w:val="0029042E"/>
    <w:rsid w:val="00296923"/>
    <w:rsid w:val="002971BF"/>
    <w:rsid w:val="002A10CC"/>
    <w:rsid w:val="002A23B8"/>
    <w:rsid w:val="002B54DD"/>
    <w:rsid w:val="002B6AE4"/>
    <w:rsid w:val="002C02AB"/>
    <w:rsid w:val="002C5B03"/>
    <w:rsid w:val="002C6C26"/>
    <w:rsid w:val="002D31FE"/>
    <w:rsid w:val="002F0747"/>
    <w:rsid w:val="002F5761"/>
    <w:rsid w:val="002F6D1A"/>
    <w:rsid w:val="002F74A8"/>
    <w:rsid w:val="003048C4"/>
    <w:rsid w:val="0030513A"/>
    <w:rsid w:val="00307147"/>
    <w:rsid w:val="0031330A"/>
    <w:rsid w:val="003164CD"/>
    <w:rsid w:val="00320E35"/>
    <w:rsid w:val="00325599"/>
    <w:rsid w:val="003256F3"/>
    <w:rsid w:val="00336C56"/>
    <w:rsid w:val="003544CC"/>
    <w:rsid w:val="00360345"/>
    <w:rsid w:val="003614F1"/>
    <w:rsid w:val="00364BFC"/>
    <w:rsid w:val="0036519A"/>
    <w:rsid w:val="00366C32"/>
    <w:rsid w:val="00370DF8"/>
    <w:rsid w:val="00372D53"/>
    <w:rsid w:val="00375148"/>
    <w:rsid w:val="00376B0D"/>
    <w:rsid w:val="0038025D"/>
    <w:rsid w:val="00381302"/>
    <w:rsid w:val="00384B5B"/>
    <w:rsid w:val="003872FE"/>
    <w:rsid w:val="00394985"/>
    <w:rsid w:val="003A1317"/>
    <w:rsid w:val="003A1540"/>
    <w:rsid w:val="003A33EF"/>
    <w:rsid w:val="003A6CA3"/>
    <w:rsid w:val="003B2B5F"/>
    <w:rsid w:val="003B329F"/>
    <w:rsid w:val="003B4D21"/>
    <w:rsid w:val="003B5EC0"/>
    <w:rsid w:val="003C1DDD"/>
    <w:rsid w:val="003C2007"/>
    <w:rsid w:val="003C4C77"/>
    <w:rsid w:val="003C5C20"/>
    <w:rsid w:val="003C7471"/>
    <w:rsid w:val="003C7B21"/>
    <w:rsid w:val="003D00E6"/>
    <w:rsid w:val="003D28F7"/>
    <w:rsid w:val="003D5D8D"/>
    <w:rsid w:val="003E223A"/>
    <w:rsid w:val="003E3313"/>
    <w:rsid w:val="003E7B6D"/>
    <w:rsid w:val="003F1CAB"/>
    <w:rsid w:val="003F5909"/>
    <w:rsid w:val="00404743"/>
    <w:rsid w:val="0040489A"/>
    <w:rsid w:val="00405DC7"/>
    <w:rsid w:val="004109D0"/>
    <w:rsid w:val="00413D3E"/>
    <w:rsid w:val="00413D43"/>
    <w:rsid w:val="00414A5D"/>
    <w:rsid w:val="00416A0A"/>
    <w:rsid w:val="00420409"/>
    <w:rsid w:val="0042185E"/>
    <w:rsid w:val="00423AC3"/>
    <w:rsid w:val="00426581"/>
    <w:rsid w:val="00430C4E"/>
    <w:rsid w:val="00430EE0"/>
    <w:rsid w:val="004344AC"/>
    <w:rsid w:val="00436CAD"/>
    <w:rsid w:val="00437012"/>
    <w:rsid w:val="00442949"/>
    <w:rsid w:val="00442973"/>
    <w:rsid w:val="00450257"/>
    <w:rsid w:val="00451286"/>
    <w:rsid w:val="0045631A"/>
    <w:rsid w:val="004563E6"/>
    <w:rsid w:val="00470A1A"/>
    <w:rsid w:val="00474660"/>
    <w:rsid w:val="004770B6"/>
    <w:rsid w:val="0047757B"/>
    <w:rsid w:val="00492971"/>
    <w:rsid w:val="00494655"/>
    <w:rsid w:val="00497BB1"/>
    <w:rsid w:val="004B09B1"/>
    <w:rsid w:val="004B7984"/>
    <w:rsid w:val="004D1AE2"/>
    <w:rsid w:val="004D3948"/>
    <w:rsid w:val="004E1B2C"/>
    <w:rsid w:val="004E33F1"/>
    <w:rsid w:val="004E47E4"/>
    <w:rsid w:val="004E7629"/>
    <w:rsid w:val="004F011A"/>
    <w:rsid w:val="004F0CC6"/>
    <w:rsid w:val="004F331A"/>
    <w:rsid w:val="004F3B44"/>
    <w:rsid w:val="004F6E09"/>
    <w:rsid w:val="00502086"/>
    <w:rsid w:val="005026EF"/>
    <w:rsid w:val="00507E01"/>
    <w:rsid w:val="005129F4"/>
    <w:rsid w:val="00513F94"/>
    <w:rsid w:val="00517300"/>
    <w:rsid w:val="0052233B"/>
    <w:rsid w:val="00530D30"/>
    <w:rsid w:val="005409B1"/>
    <w:rsid w:val="00540D5D"/>
    <w:rsid w:val="00542377"/>
    <w:rsid w:val="00546393"/>
    <w:rsid w:val="005542DB"/>
    <w:rsid w:val="00554FBB"/>
    <w:rsid w:val="00555819"/>
    <w:rsid w:val="00556BFB"/>
    <w:rsid w:val="00563D11"/>
    <w:rsid w:val="005643E1"/>
    <w:rsid w:val="00565349"/>
    <w:rsid w:val="00566E32"/>
    <w:rsid w:val="0057758B"/>
    <w:rsid w:val="00577E87"/>
    <w:rsid w:val="00591FD7"/>
    <w:rsid w:val="00593B48"/>
    <w:rsid w:val="00593ECB"/>
    <w:rsid w:val="0059414C"/>
    <w:rsid w:val="005943F1"/>
    <w:rsid w:val="005961CA"/>
    <w:rsid w:val="00597E7D"/>
    <w:rsid w:val="005A0DAD"/>
    <w:rsid w:val="005A0F5D"/>
    <w:rsid w:val="005A467E"/>
    <w:rsid w:val="005A4E94"/>
    <w:rsid w:val="005C22C0"/>
    <w:rsid w:val="005C5153"/>
    <w:rsid w:val="005D71EC"/>
    <w:rsid w:val="005E1EB5"/>
    <w:rsid w:val="005E621F"/>
    <w:rsid w:val="005E736F"/>
    <w:rsid w:val="005F067A"/>
    <w:rsid w:val="00613291"/>
    <w:rsid w:val="00624532"/>
    <w:rsid w:val="00630561"/>
    <w:rsid w:val="00633598"/>
    <w:rsid w:val="00641FEA"/>
    <w:rsid w:val="00643524"/>
    <w:rsid w:val="00643BEE"/>
    <w:rsid w:val="00643D6A"/>
    <w:rsid w:val="00646125"/>
    <w:rsid w:val="00646FB5"/>
    <w:rsid w:val="00664F10"/>
    <w:rsid w:val="00665376"/>
    <w:rsid w:val="00670934"/>
    <w:rsid w:val="00671800"/>
    <w:rsid w:val="00680C0E"/>
    <w:rsid w:val="00681029"/>
    <w:rsid w:val="006813B5"/>
    <w:rsid w:val="006814ED"/>
    <w:rsid w:val="00681694"/>
    <w:rsid w:val="00686109"/>
    <w:rsid w:val="00692B66"/>
    <w:rsid w:val="006A0B0A"/>
    <w:rsid w:val="006A1F7E"/>
    <w:rsid w:val="006A211F"/>
    <w:rsid w:val="006A33AE"/>
    <w:rsid w:val="006A53EC"/>
    <w:rsid w:val="006A7705"/>
    <w:rsid w:val="006C0B99"/>
    <w:rsid w:val="006C1D7B"/>
    <w:rsid w:val="006C671D"/>
    <w:rsid w:val="006D09D9"/>
    <w:rsid w:val="006D15BE"/>
    <w:rsid w:val="006D4CF4"/>
    <w:rsid w:val="006D77BE"/>
    <w:rsid w:val="006E1567"/>
    <w:rsid w:val="006E5D34"/>
    <w:rsid w:val="006F066E"/>
    <w:rsid w:val="006F311F"/>
    <w:rsid w:val="006F41DB"/>
    <w:rsid w:val="00701CD8"/>
    <w:rsid w:val="007026C3"/>
    <w:rsid w:val="0070333B"/>
    <w:rsid w:val="007069C3"/>
    <w:rsid w:val="00706E5D"/>
    <w:rsid w:val="007113C5"/>
    <w:rsid w:val="00714DC4"/>
    <w:rsid w:val="00722079"/>
    <w:rsid w:val="00727B55"/>
    <w:rsid w:val="0073045D"/>
    <w:rsid w:val="00730FBB"/>
    <w:rsid w:val="007361F8"/>
    <w:rsid w:val="00736B30"/>
    <w:rsid w:val="007430AA"/>
    <w:rsid w:val="00744A43"/>
    <w:rsid w:val="00745F98"/>
    <w:rsid w:val="0074762D"/>
    <w:rsid w:val="00752F0F"/>
    <w:rsid w:val="0075301A"/>
    <w:rsid w:val="00755F5D"/>
    <w:rsid w:val="00763AF1"/>
    <w:rsid w:val="00765AA3"/>
    <w:rsid w:val="00766E60"/>
    <w:rsid w:val="00772B49"/>
    <w:rsid w:val="00774588"/>
    <w:rsid w:val="007818C7"/>
    <w:rsid w:val="007824DE"/>
    <w:rsid w:val="0079084A"/>
    <w:rsid w:val="007A2318"/>
    <w:rsid w:val="007A2D86"/>
    <w:rsid w:val="007A2E1A"/>
    <w:rsid w:val="007A7DA8"/>
    <w:rsid w:val="007B428C"/>
    <w:rsid w:val="007B490D"/>
    <w:rsid w:val="007B54F0"/>
    <w:rsid w:val="007C1EC4"/>
    <w:rsid w:val="007C23CE"/>
    <w:rsid w:val="007C3136"/>
    <w:rsid w:val="007D0982"/>
    <w:rsid w:val="007E1A9A"/>
    <w:rsid w:val="007E2D5B"/>
    <w:rsid w:val="007E5119"/>
    <w:rsid w:val="007E72C6"/>
    <w:rsid w:val="007F2D51"/>
    <w:rsid w:val="007F4F1D"/>
    <w:rsid w:val="007F7176"/>
    <w:rsid w:val="008071BF"/>
    <w:rsid w:val="00810D22"/>
    <w:rsid w:val="008135D3"/>
    <w:rsid w:val="008144E3"/>
    <w:rsid w:val="00823275"/>
    <w:rsid w:val="00824736"/>
    <w:rsid w:val="008330FF"/>
    <w:rsid w:val="00835C07"/>
    <w:rsid w:val="0084195F"/>
    <w:rsid w:val="0084526E"/>
    <w:rsid w:val="00851D3B"/>
    <w:rsid w:val="008572C4"/>
    <w:rsid w:val="00860178"/>
    <w:rsid w:val="00861D5A"/>
    <w:rsid w:val="00872246"/>
    <w:rsid w:val="00874D49"/>
    <w:rsid w:val="00874F0C"/>
    <w:rsid w:val="008753D0"/>
    <w:rsid w:val="00885E1C"/>
    <w:rsid w:val="0089029C"/>
    <w:rsid w:val="00892EB5"/>
    <w:rsid w:val="008969EE"/>
    <w:rsid w:val="008A0149"/>
    <w:rsid w:val="008A4AD2"/>
    <w:rsid w:val="008B1622"/>
    <w:rsid w:val="008B4B96"/>
    <w:rsid w:val="008B5D90"/>
    <w:rsid w:val="008C0212"/>
    <w:rsid w:val="008C65B7"/>
    <w:rsid w:val="008C7CD8"/>
    <w:rsid w:val="008D6BB0"/>
    <w:rsid w:val="008F317E"/>
    <w:rsid w:val="008F37BB"/>
    <w:rsid w:val="008F522A"/>
    <w:rsid w:val="00900DCB"/>
    <w:rsid w:val="00901587"/>
    <w:rsid w:val="009105AE"/>
    <w:rsid w:val="009142FE"/>
    <w:rsid w:val="00916864"/>
    <w:rsid w:val="00934C70"/>
    <w:rsid w:val="00936401"/>
    <w:rsid w:val="009518D6"/>
    <w:rsid w:val="00956035"/>
    <w:rsid w:val="00956552"/>
    <w:rsid w:val="00960846"/>
    <w:rsid w:val="009644BE"/>
    <w:rsid w:val="00965DD6"/>
    <w:rsid w:val="00966EDA"/>
    <w:rsid w:val="00970444"/>
    <w:rsid w:val="00971C8B"/>
    <w:rsid w:val="0097576E"/>
    <w:rsid w:val="00984879"/>
    <w:rsid w:val="00990765"/>
    <w:rsid w:val="00990936"/>
    <w:rsid w:val="009924F7"/>
    <w:rsid w:val="00994A51"/>
    <w:rsid w:val="00995D54"/>
    <w:rsid w:val="00996E9F"/>
    <w:rsid w:val="009A0731"/>
    <w:rsid w:val="009A133C"/>
    <w:rsid w:val="009A2A86"/>
    <w:rsid w:val="009A4E56"/>
    <w:rsid w:val="009A550C"/>
    <w:rsid w:val="009A5C55"/>
    <w:rsid w:val="009A5D26"/>
    <w:rsid w:val="009A7EC1"/>
    <w:rsid w:val="009B3FEA"/>
    <w:rsid w:val="009B5054"/>
    <w:rsid w:val="009B66DE"/>
    <w:rsid w:val="009C335C"/>
    <w:rsid w:val="009C3FDE"/>
    <w:rsid w:val="009C519E"/>
    <w:rsid w:val="009C7AA3"/>
    <w:rsid w:val="009D333E"/>
    <w:rsid w:val="009D700D"/>
    <w:rsid w:val="009D7526"/>
    <w:rsid w:val="009E1EB3"/>
    <w:rsid w:val="009E343B"/>
    <w:rsid w:val="009E3F00"/>
    <w:rsid w:val="009E70A3"/>
    <w:rsid w:val="009E7C5C"/>
    <w:rsid w:val="009F1351"/>
    <w:rsid w:val="009F2660"/>
    <w:rsid w:val="009F5A00"/>
    <w:rsid w:val="009F6946"/>
    <w:rsid w:val="009F7CE6"/>
    <w:rsid w:val="00A03E79"/>
    <w:rsid w:val="00A05A26"/>
    <w:rsid w:val="00A16C23"/>
    <w:rsid w:val="00A23A95"/>
    <w:rsid w:val="00A3571C"/>
    <w:rsid w:val="00A36545"/>
    <w:rsid w:val="00A377E6"/>
    <w:rsid w:val="00A37D71"/>
    <w:rsid w:val="00A42774"/>
    <w:rsid w:val="00A441DE"/>
    <w:rsid w:val="00A50B79"/>
    <w:rsid w:val="00A52570"/>
    <w:rsid w:val="00A67001"/>
    <w:rsid w:val="00A70C88"/>
    <w:rsid w:val="00A854C5"/>
    <w:rsid w:val="00A91FEB"/>
    <w:rsid w:val="00AA0938"/>
    <w:rsid w:val="00AA2535"/>
    <w:rsid w:val="00AA5E8D"/>
    <w:rsid w:val="00AB18A3"/>
    <w:rsid w:val="00AB24B0"/>
    <w:rsid w:val="00AB2E51"/>
    <w:rsid w:val="00AC0715"/>
    <w:rsid w:val="00AC5D77"/>
    <w:rsid w:val="00AC6371"/>
    <w:rsid w:val="00AD0937"/>
    <w:rsid w:val="00AD4631"/>
    <w:rsid w:val="00AE03E0"/>
    <w:rsid w:val="00AE0545"/>
    <w:rsid w:val="00AE0DA6"/>
    <w:rsid w:val="00AE0EB1"/>
    <w:rsid w:val="00AE141F"/>
    <w:rsid w:val="00AE7AC1"/>
    <w:rsid w:val="00AF25BF"/>
    <w:rsid w:val="00AF63F3"/>
    <w:rsid w:val="00AF764A"/>
    <w:rsid w:val="00B007F3"/>
    <w:rsid w:val="00B1598C"/>
    <w:rsid w:val="00B169D1"/>
    <w:rsid w:val="00B211ED"/>
    <w:rsid w:val="00B252A8"/>
    <w:rsid w:val="00B26206"/>
    <w:rsid w:val="00B26D00"/>
    <w:rsid w:val="00B32B3C"/>
    <w:rsid w:val="00B364D4"/>
    <w:rsid w:val="00B41B8C"/>
    <w:rsid w:val="00B52576"/>
    <w:rsid w:val="00B66E1F"/>
    <w:rsid w:val="00B878C8"/>
    <w:rsid w:val="00B9022F"/>
    <w:rsid w:val="00B90EAB"/>
    <w:rsid w:val="00B92027"/>
    <w:rsid w:val="00B92299"/>
    <w:rsid w:val="00B96AA5"/>
    <w:rsid w:val="00BA48CC"/>
    <w:rsid w:val="00BB5D69"/>
    <w:rsid w:val="00BB5EF9"/>
    <w:rsid w:val="00BB791A"/>
    <w:rsid w:val="00BB7C11"/>
    <w:rsid w:val="00BC1E86"/>
    <w:rsid w:val="00BC7D5D"/>
    <w:rsid w:val="00BE0DEA"/>
    <w:rsid w:val="00BE566B"/>
    <w:rsid w:val="00BE7DBB"/>
    <w:rsid w:val="00BF022C"/>
    <w:rsid w:val="00BF7740"/>
    <w:rsid w:val="00C11E4C"/>
    <w:rsid w:val="00C153EC"/>
    <w:rsid w:val="00C16A9F"/>
    <w:rsid w:val="00C267C9"/>
    <w:rsid w:val="00C27923"/>
    <w:rsid w:val="00C307BD"/>
    <w:rsid w:val="00C32820"/>
    <w:rsid w:val="00C34E24"/>
    <w:rsid w:val="00C36F77"/>
    <w:rsid w:val="00C404B1"/>
    <w:rsid w:val="00C42B31"/>
    <w:rsid w:val="00C46F30"/>
    <w:rsid w:val="00C47C51"/>
    <w:rsid w:val="00C53CA6"/>
    <w:rsid w:val="00C55992"/>
    <w:rsid w:val="00C60FC9"/>
    <w:rsid w:val="00C647DB"/>
    <w:rsid w:val="00C66916"/>
    <w:rsid w:val="00C727B5"/>
    <w:rsid w:val="00C72ADA"/>
    <w:rsid w:val="00C73515"/>
    <w:rsid w:val="00C76F5C"/>
    <w:rsid w:val="00C77A27"/>
    <w:rsid w:val="00C82670"/>
    <w:rsid w:val="00C85BF6"/>
    <w:rsid w:val="00C92276"/>
    <w:rsid w:val="00CA523D"/>
    <w:rsid w:val="00CA6D61"/>
    <w:rsid w:val="00CB662B"/>
    <w:rsid w:val="00CB6ED1"/>
    <w:rsid w:val="00CB7420"/>
    <w:rsid w:val="00CC7282"/>
    <w:rsid w:val="00CD4BED"/>
    <w:rsid w:val="00CD605B"/>
    <w:rsid w:val="00CD7D14"/>
    <w:rsid w:val="00CE1E32"/>
    <w:rsid w:val="00CE2546"/>
    <w:rsid w:val="00CE6972"/>
    <w:rsid w:val="00CE6B40"/>
    <w:rsid w:val="00CE71BC"/>
    <w:rsid w:val="00CF5EA7"/>
    <w:rsid w:val="00CF74D8"/>
    <w:rsid w:val="00D0690A"/>
    <w:rsid w:val="00D0715F"/>
    <w:rsid w:val="00D10CB4"/>
    <w:rsid w:val="00D13508"/>
    <w:rsid w:val="00D174F7"/>
    <w:rsid w:val="00D20093"/>
    <w:rsid w:val="00D24675"/>
    <w:rsid w:val="00D32E97"/>
    <w:rsid w:val="00D4439B"/>
    <w:rsid w:val="00D57E09"/>
    <w:rsid w:val="00D60559"/>
    <w:rsid w:val="00D643A1"/>
    <w:rsid w:val="00D65618"/>
    <w:rsid w:val="00D66F85"/>
    <w:rsid w:val="00D70CAC"/>
    <w:rsid w:val="00D77C32"/>
    <w:rsid w:val="00D81376"/>
    <w:rsid w:val="00D86670"/>
    <w:rsid w:val="00D92231"/>
    <w:rsid w:val="00D95319"/>
    <w:rsid w:val="00D960B5"/>
    <w:rsid w:val="00DA371D"/>
    <w:rsid w:val="00DB1D71"/>
    <w:rsid w:val="00DB70BF"/>
    <w:rsid w:val="00DD007C"/>
    <w:rsid w:val="00DD02D2"/>
    <w:rsid w:val="00DD1922"/>
    <w:rsid w:val="00DD337E"/>
    <w:rsid w:val="00DD742B"/>
    <w:rsid w:val="00DE3A51"/>
    <w:rsid w:val="00DE6CB4"/>
    <w:rsid w:val="00DF5C3A"/>
    <w:rsid w:val="00E103BB"/>
    <w:rsid w:val="00E15C73"/>
    <w:rsid w:val="00E20BD7"/>
    <w:rsid w:val="00E2553B"/>
    <w:rsid w:val="00E26511"/>
    <w:rsid w:val="00E26DFE"/>
    <w:rsid w:val="00E3203D"/>
    <w:rsid w:val="00E32C3A"/>
    <w:rsid w:val="00E33EFA"/>
    <w:rsid w:val="00E341CF"/>
    <w:rsid w:val="00E359D5"/>
    <w:rsid w:val="00E35AB2"/>
    <w:rsid w:val="00E36044"/>
    <w:rsid w:val="00E4475D"/>
    <w:rsid w:val="00E50427"/>
    <w:rsid w:val="00E50555"/>
    <w:rsid w:val="00E51801"/>
    <w:rsid w:val="00E612AA"/>
    <w:rsid w:val="00E65734"/>
    <w:rsid w:val="00E6799E"/>
    <w:rsid w:val="00E71C26"/>
    <w:rsid w:val="00E7382E"/>
    <w:rsid w:val="00E77E94"/>
    <w:rsid w:val="00E816AF"/>
    <w:rsid w:val="00E8364C"/>
    <w:rsid w:val="00E90684"/>
    <w:rsid w:val="00E91B13"/>
    <w:rsid w:val="00E92BA3"/>
    <w:rsid w:val="00E97FE0"/>
    <w:rsid w:val="00EA5388"/>
    <w:rsid w:val="00EC22AD"/>
    <w:rsid w:val="00EC3D81"/>
    <w:rsid w:val="00EC5E42"/>
    <w:rsid w:val="00ED14E9"/>
    <w:rsid w:val="00ED1E56"/>
    <w:rsid w:val="00ED7573"/>
    <w:rsid w:val="00EE3572"/>
    <w:rsid w:val="00EE780F"/>
    <w:rsid w:val="00EF07B2"/>
    <w:rsid w:val="00EF19FC"/>
    <w:rsid w:val="00EF28BD"/>
    <w:rsid w:val="00EF2F49"/>
    <w:rsid w:val="00EF36B8"/>
    <w:rsid w:val="00EF5FD2"/>
    <w:rsid w:val="00F107F6"/>
    <w:rsid w:val="00F1333C"/>
    <w:rsid w:val="00F13ADC"/>
    <w:rsid w:val="00F15480"/>
    <w:rsid w:val="00F15DEF"/>
    <w:rsid w:val="00F17384"/>
    <w:rsid w:val="00F20D7B"/>
    <w:rsid w:val="00F21C36"/>
    <w:rsid w:val="00F21D70"/>
    <w:rsid w:val="00F31BAA"/>
    <w:rsid w:val="00F32CBC"/>
    <w:rsid w:val="00F354D6"/>
    <w:rsid w:val="00F40C21"/>
    <w:rsid w:val="00F50F80"/>
    <w:rsid w:val="00F51C86"/>
    <w:rsid w:val="00F57B94"/>
    <w:rsid w:val="00F736A0"/>
    <w:rsid w:val="00F801FD"/>
    <w:rsid w:val="00F80993"/>
    <w:rsid w:val="00F84CEF"/>
    <w:rsid w:val="00F95F6F"/>
    <w:rsid w:val="00F96BDC"/>
    <w:rsid w:val="00F97F5B"/>
    <w:rsid w:val="00FA060F"/>
    <w:rsid w:val="00FA42ED"/>
    <w:rsid w:val="00FB1375"/>
    <w:rsid w:val="00FB1AE7"/>
    <w:rsid w:val="00FB5684"/>
    <w:rsid w:val="00FB663E"/>
    <w:rsid w:val="00FC1B89"/>
    <w:rsid w:val="00FC484F"/>
    <w:rsid w:val="00FC7BF8"/>
    <w:rsid w:val="00FD10F5"/>
    <w:rsid w:val="00FD48D2"/>
    <w:rsid w:val="00FD58D8"/>
    <w:rsid w:val="00FE5FF6"/>
    <w:rsid w:val="00FE62DD"/>
    <w:rsid w:val="00FF0B56"/>
    <w:rsid w:val="00FF0CCD"/>
    <w:rsid w:val="00FF5CDF"/>
    <w:rsid w:val="01140C5F"/>
    <w:rsid w:val="01254CD8"/>
    <w:rsid w:val="015530E0"/>
    <w:rsid w:val="01765F47"/>
    <w:rsid w:val="01B96970"/>
    <w:rsid w:val="01BC12B0"/>
    <w:rsid w:val="01C64901"/>
    <w:rsid w:val="01CF2C32"/>
    <w:rsid w:val="02355A6E"/>
    <w:rsid w:val="02436693"/>
    <w:rsid w:val="02471CC2"/>
    <w:rsid w:val="02657D14"/>
    <w:rsid w:val="029A3DE3"/>
    <w:rsid w:val="029F3650"/>
    <w:rsid w:val="02E319B9"/>
    <w:rsid w:val="02FA35CD"/>
    <w:rsid w:val="02FC06A6"/>
    <w:rsid w:val="03105024"/>
    <w:rsid w:val="03380D1D"/>
    <w:rsid w:val="035B2A0E"/>
    <w:rsid w:val="03987AF5"/>
    <w:rsid w:val="03E13612"/>
    <w:rsid w:val="03F538FC"/>
    <w:rsid w:val="0425109F"/>
    <w:rsid w:val="04A64BDE"/>
    <w:rsid w:val="04F64163"/>
    <w:rsid w:val="05294D60"/>
    <w:rsid w:val="053C71CB"/>
    <w:rsid w:val="0552023D"/>
    <w:rsid w:val="059112B6"/>
    <w:rsid w:val="05AE6DD3"/>
    <w:rsid w:val="05FA73D0"/>
    <w:rsid w:val="061F1A74"/>
    <w:rsid w:val="06397CF3"/>
    <w:rsid w:val="063E7B9C"/>
    <w:rsid w:val="06BB71BD"/>
    <w:rsid w:val="07382AA8"/>
    <w:rsid w:val="07E74755"/>
    <w:rsid w:val="08A03213"/>
    <w:rsid w:val="08B512C1"/>
    <w:rsid w:val="08D33C68"/>
    <w:rsid w:val="08DB7252"/>
    <w:rsid w:val="093131EA"/>
    <w:rsid w:val="09675BF7"/>
    <w:rsid w:val="09B2665C"/>
    <w:rsid w:val="0A2353CF"/>
    <w:rsid w:val="0A4740AD"/>
    <w:rsid w:val="0A8C3D57"/>
    <w:rsid w:val="0A930CBE"/>
    <w:rsid w:val="0ACD1732"/>
    <w:rsid w:val="0AE07EB3"/>
    <w:rsid w:val="0AF247BD"/>
    <w:rsid w:val="0AF3676B"/>
    <w:rsid w:val="0B0E0B2D"/>
    <w:rsid w:val="0B1268A7"/>
    <w:rsid w:val="0B234172"/>
    <w:rsid w:val="0B4A7703"/>
    <w:rsid w:val="0B9C3C42"/>
    <w:rsid w:val="0BF35F3F"/>
    <w:rsid w:val="0BF40EB9"/>
    <w:rsid w:val="0C055897"/>
    <w:rsid w:val="0C0655B3"/>
    <w:rsid w:val="0C0F42FF"/>
    <w:rsid w:val="0C280C02"/>
    <w:rsid w:val="0C396392"/>
    <w:rsid w:val="0C6C5F54"/>
    <w:rsid w:val="0C720471"/>
    <w:rsid w:val="0CB61DA6"/>
    <w:rsid w:val="0CC54965"/>
    <w:rsid w:val="0D190345"/>
    <w:rsid w:val="0D3766A7"/>
    <w:rsid w:val="0D4D006A"/>
    <w:rsid w:val="0D6623CD"/>
    <w:rsid w:val="0D782AA4"/>
    <w:rsid w:val="0D972C2F"/>
    <w:rsid w:val="0D97306A"/>
    <w:rsid w:val="0DBC173C"/>
    <w:rsid w:val="0DFA7BE5"/>
    <w:rsid w:val="0E173693"/>
    <w:rsid w:val="0E7011C2"/>
    <w:rsid w:val="0EEC6DC3"/>
    <w:rsid w:val="0EF9517C"/>
    <w:rsid w:val="0EFE7130"/>
    <w:rsid w:val="0F0C3D79"/>
    <w:rsid w:val="0F431E4F"/>
    <w:rsid w:val="0F734882"/>
    <w:rsid w:val="0FB90EE5"/>
    <w:rsid w:val="0FC337F5"/>
    <w:rsid w:val="0FDB107D"/>
    <w:rsid w:val="10002B78"/>
    <w:rsid w:val="10294D3F"/>
    <w:rsid w:val="104F19B3"/>
    <w:rsid w:val="10C12ED9"/>
    <w:rsid w:val="10C57FBB"/>
    <w:rsid w:val="113E6498"/>
    <w:rsid w:val="11881BE1"/>
    <w:rsid w:val="11AD705F"/>
    <w:rsid w:val="11DB161C"/>
    <w:rsid w:val="11E16319"/>
    <w:rsid w:val="11E2574D"/>
    <w:rsid w:val="11E92678"/>
    <w:rsid w:val="125379B4"/>
    <w:rsid w:val="126A43D2"/>
    <w:rsid w:val="12803442"/>
    <w:rsid w:val="12960686"/>
    <w:rsid w:val="12BC4D67"/>
    <w:rsid w:val="12FD27B2"/>
    <w:rsid w:val="131C0A02"/>
    <w:rsid w:val="132B7C4D"/>
    <w:rsid w:val="1339279E"/>
    <w:rsid w:val="133C0594"/>
    <w:rsid w:val="135528C9"/>
    <w:rsid w:val="137002D6"/>
    <w:rsid w:val="139751AD"/>
    <w:rsid w:val="13B75CBA"/>
    <w:rsid w:val="13D33911"/>
    <w:rsid w:val="13D864F6"/>
    <w:rsid w:val="14013790"/>
    <w:rsid w:val="1414218E"/>
    <w:rsid w:val="14163A1D"/>
    <w:rsid w:val="142E52DF"/>
    <w:rsid w:val="14326E0E"/>
    <w:rsid w:val="145B10C1"/>
    <w:rsid w:val="14634AF6"/>
    <w:rsid w:val="14655E68"/>
    <w:rsid w:val="14BD0767"/>
    <w:rsid w:val="14CB7728"/>
    <w:rsid w:val="15026AD7"/>
    <w:rsid w:val="150B628A"/>
    <w:rsid w:val="15276422"/>
    <w:rsid w:val="152A2EFE"/>
    <w:rsid w:val="15A53EB9"/>
    <w:rsid w:val="16067ADE"/>
    <w:rsid w:val="160A4E2D"/>
    <w:rsid w:val="16153D2A"/>
    <w:rsid w:val="166B7FC8"/>
    <w:rsid w:val="1678693A"/>
    <w:rsid w:val="16807394"/>
    <w:rsid w:val="170A25AB"/>
    <w:rsid w:val="17342344"/>
    <w:rsid w:val="175A4387"/>
    <w:rsid w:val="17615D3F"/>
    <w:rsid w:val="17C12409"/>
    <w:rsid w:val="17C339DC"/>
    <w:rsid w:val="17C703CD"/>
    <w:rsid w:val="17CA5036"/>
    <w:rsid w:val="18601E17"/>
    <w:rsid w:val="186B7D81"/>
    <w:rsid w:val="1875309B"/>
    <w:rsid w:val="188730C4"/>
    <w:rsid w:val="191649D3"/>
    <w:rsid w:val="191740D0"/>
    <w:rsid w:val="1946649D"/>
    <w:rsid w:val="196D08CE"/>
    <w:rsid w:val="19CF323D"/>
    <w:rsid w:val="19D972CC"/>
    <w:rsid w:val="1A05661E"/>
    <w:rsid w:val="1A0F4D20"/>
    <w:rsid w:val="1A2922F4"/>
    <w:rsid w:val="1A2B3D6B"/>
    <w:rsid w:val="1A365F56"/>
    <w:rsid w:val="1A412364"/>
    <w:rsid w:val="1A5A6E29"/>
    <w:rsid w:val="1A722A2B"/>
    <w:rsid w:val="1AC908CB"/>
    <w:rsid w:val="1AEB5E05"/>
    <w:rsid w:val="1B364F34"/>
    <w:rsid w:val="1B4C2292"/>
    <w:rsid w:val="1B510DE8"/>
    <w:rsid w:val="1C312FD7"/>
    <w:rsid w:val="1C4311AD"/>
    <w:rsid w:val="1C885B74"/>
    <w:rsid w:val="1C987F2C"/>
    <w:rsid w:val="1CB668DF"/>
    <w:rsid w:val="1CB93451"/>
    <w:rsid w:val="1CDE0ACD"/>
    <w:rsid w:val="1D1D09A8"/>
    <w:rsid w:val="1D2C6DEB"/>
    <w:rsid w:val="1D83165B"/>
    <w:rsid w:val="1DFB7301"/>
    <w:rsid w:val="1E022951"/>
    <w:rsid w:val="1E033CE6"/>
    <w:rsid w:val="1E3260BD"/>
    <w:rsid w:val="1E496DDE"/>
    <w:rsid w:val="1E880AA7"/>
    <w:rsid w:val="1F0041F3"/>
    <w:rsid w:val="1F5C1326"/>
    <w:rsid w:val="1F8A0B40"/>
    <w:rsid w:val="1F8F04EC"/>
    <w:rsid w:val="1FC95D03"/>
    <w:rsid w:val="1FF969C8"/>
    <w:rsid w:val="201B009A"/>
    <w:rsid w:val="20635243"/>
    <w:rsid w:val="209A33F9"/>
    <w:rsid w:val="20A005C0"/>
    <w:rsid w:val="20A4614F"/>
    <w:rsid w:val="20DC46D6"/>
    <w:rsid w:val="2108507B"/>
    <w:rsid w:val="2115026D"/>
    <w:rsid w:val="211931B9"/>
    <w:rsid w:val="21205F9D"/>
    <w:rsid w:val="21365A1E"/>
    <w:rsid w:val="216B2D2D"/>
    <w:rsid w:val="21A116A0"/>
    <w:rsid w:val="21A6636B"/>
    <w:rsid w:val="21C16957"/>
    <w:rsid w:val="21DB7529"/>
    <w:rsid w:val="22440989"/>
    <w:rsid w:val="228B2B0B"/>
    <w:rsid w:val="22B97195"/>
    <w:rsid w:val="22BF73CD"/>
    <w:rsid w:val="22F3665D"/>
    <w:rsid w:val="22F36930"/>
    <w:rsid w:val="231701D9"/>
    <w:rsid w:val="2341288A"/>
    <w:rsid w:val="234B6150"/>
    <w:rsid w:val="237E26AB"/>
    <w:rsid w:val="23C91F5A"/>
    <w:rsid w:val="23FD484B"/>
    <w:rsid w:val="244273CB"/>
    <w:rsid w:val="24497ADD"/>
    <w:rsid w:val="247713B3"/>
    <w:rsid w:val="24CB3715"/>
    <w:rsid w:val="24D6059F"/>
    <w:rsid w:val="24DC0100"/>
    <w:rsid w:val="25124781"/>
    <w:rsid w:val="2523471B"/>
    <w:rsid w:val="2526646D"/>
    <w:rsid w:val="256608DF"/>
    <w:rsid w:val="26047DF6"/>
    <w:rsid w:val="260E639A"/>
    <w:rsid w:val="26166D95"/>
    <w:rsid w:val="26500114"/>
    <w:rsid w:val="26574D13"/>
    <w:rsid w:val="268A6546"/>
    <w:rsid w:val="26A31248"/>
    <w:rsid w:val="26A70E7C"/>
    <w:rsid w:val="2725194A"/>
    <w:rsid w:val="272C009E"/>
    <w:rsid w:val="27584715"/>
    <w:rsid w:val="27601D5C"/>
    <w:rsid w:val="276C12D3"/>
    <w:rsid w:val="2773452C"/>
    <w:rsid w:val="27852AA9"/>
    <w:rsid w:val="27A55ABE"/>
    <w:rsid w:val="27B71947"/>
    <w:rsid w:val="27C82F17"/>
    <w:rsid w:val="27FF053C"/>
    <w:rsid w:val="281171D4"/>
    <w:rsid w:val="283359C4"/>
    <w:rsid w:val="283729FE"/>
    <w:rsid w:val="285A1F91"/>
    <w:rsid w:val="28830C3F"/>
    <w:rsid w:val="28BF1223"/>
    <w:rsid w:val="28C46912"/>
    <w:rsid w:val="28E4447F"/>
    <w:rsid w:val="28F949CE"/>
    <w:rsid w:val="28FE4940"/>
    <w:rsid w:val="2906106E"/>
    <w:rsid w:val="290D0628"/>
    <w:rsid w:val="294821B0"/>
    <w:rsid w:val="297E1F91"/>
    <w:rsid w:val="29CF5D3B"/>
    <w:rsid w:val="2A923A11"/>
    <w:rsid w:val="2AC61F4D"/>
    <w:rsid w:val="2AD665B8"/>
    <w:rsid w:val="2AF75E9F"/>
    <w:rsid w:val="2B043B6B"/>
    <w:rsid w:val="2B0B28C8"/>
    <w:rsid w:val="2B7C78B0"/>
    <w:rsid w:val="2B87781C"/>
    <w:rsid w:val="2B9045D3"/>
    <w:rsid w:val="2B966E81"/>
    <w:rsid w:val="2BC50767"/>
    <w:rsid w:val="2C1F298E"/>
    <w:rsid w:val="2C3E485A"/>
    <w:rsid w:val="2CA33030"/>
    <w:rsid w:val="2CB467F0"/>
    <w:rsid w:val="2CCA0D7B"/>
    <w:rsid w:val="2D105036"/>
    <w:rsid w:val="2D15582E"/>
    <w:rsid w:val="2D256F0A"/>
    <w:rsid w:val="2D570C02"/>
    <w:rsid w:val="2D95664E"/>
    <w:rsid w:val="2DF856F9"/>
    <w:rsid w:val="2E031735"/>
    <w:rsid w:val="2E386B22"/>
    <w:rsid w:val="2E4372E5"/>
    <w:rsid w:val="2E4E4E83"/>
    <w:rsid w:val="2E5C195A"/>
    <w:rsid w:val="2ECD5BA4"/>
    <w:rsid w:val="2ED97D05"/>
    <w:rsid w:val="2F0E02F4"/>
    <w:rsid w:val="2F1659A1"/>
    <w:rsid w:val="2F211D89"/>
    <w:rsid w:val="2F3608DB"/>
    <w:rsid w:val="2FBF08B2"/>
    <w:rsid w:val="2FC81A7A"/>
    <w:rsid w:val="2FDB4286"/>
    <w:rsid w:val="30525745"/>
    <w:rsid w:val="3062720D"/>
    <w:rsid w:val="308B3F01"/>
    <w:rsid w:val="30B12644"/>
    <w:rsid w:val="30F634E7"/>
    <w:rsid w:val="311025EA"/>
    <w:rsid w:val="3126711F"/>
    <w:rsid w:val="313F1716"/>
    <w:rsid w:val="318605FB"/>
    <w:rsid w:val="318D2602"/>
    <w:rsid w:val="32096B96"/>
    <w:rsid w:val="32227278"/>
    <w:rsid w:val="32575FB8"/>
    <w:rsid w:val="32CF4BF6"/>
    <w:rsid w:val="330275EB"/>
    <w:rsid w:val="33051941"/>
    <w:rsid w:val="33443F3A"/>
    <w:rsid w:val="335363B1"/>
    <w:rsid w:val="33606646"/>
    <w:rsid w:val="33701140"/>
    <w:rsid w:val="33B4303F"/>
    <w:rsid w:val="33B7624D"/>
    <w:rsid w:val="33C562DD"/>
    <w:rsid w:val="33EA304F"/>
    <w:rsid w:val="34041004"/>
    <w:rsid w:val="34521767"/>
    <w:rsid w:val="34C22921"/>
    <w:rsid w:val="34D0477E"/>
    <w:rsid w:val="34D32517"/>
    <w:rsid w:val="34E6325D"/>
    <w:rsid w:val="34F24E3E"/>
    <w:rsid w:val="350304F5"/>
    <w:rsid w:val="3533247C"/>
    <w:rsid w:val="353F6412"/>
    <w:rsid w:val="358B75C4"/>
    <w:rsid w:val="35A221D6"/>
    <w:rsid w:val="35AE771E"/>
    <w:rsid w:val="36142DC8"/>
    <w:rsid w:val="368C346F"/>
    <w:rsid w:val="36960A01"/>
    <w:rsid w:val="37351DC4"/>
    <w:rsid w:val="37603982"/>
    <w:rsid w:val="378757A1"/>
    <w:rsid w:val="37A53669"/>
    <w:rsid w:val="37BD7D42"/>
    <w:rsid w:val="37C055E9"/>
    <w:rsid w:val="37C66841"/>
    <w:rsid w:val="380524DB"/>
    <w:rsid w:val="381D7D18"/>
    <w:rsid w:val="383279F3"/>
    <w:rsid w:val="38442C79"/>
    <w:rsid w:val="384577F6"/>
    <w:rsid w:val="3865001A"/>
    <w:rsid w:val="386E63ED"/>
    <w:rsid w:val="38A21882"/>
    <w:rsid w:val="38DF151E"/>
    <w:rsid w:val="38EB537A"/>
    <w:rsid w:val="39004E13"/>
    <w:rsid w:val="391E764F"/>
    <w:rsid w:val="39302D08"/>
    <w:rsid w:val="393A0C68"/>
    <w:rsid w:val="39557449"/>
    <w:rsid w:val="398D6632"/>
    <w:rsid w:val="399D1E05"/>
    <w:rsid w:val="39B44E9C"/>
    <w:rsid w:val="39BF2B41"/>
    <w:rsid w:val="39E559EE"/>
    <w:rsid w:val="3A0E593A"/>
    <w:rsid w:val="3A0E76F7"/>
    <w:rsid w:val="3A3C3452"/>
    <w:rsid w:val="3A4400FB"/>
    <w:rsid w:val="3A593D84"/>
    <w:rsid w:val="3A5C6E22"/>
    <w:rsid w:val="3A6607AA"/>
    <w:rsid w:val="3A781BDF"/>
    <w:rsid w:val="3ABC77AB"/>
    <w:rsid w:val="3AEA5795"/>
    <w:rsid w:val="3B14799E"/>
    <w:rsid w:val="3B223AC0"/>
    <w:rsid w:val="3B3B1250"/>
    <w:rsid w:val="3B3B3C1A"/>
    <w:rsid w:val="3B3B4B39"/>
    <w:rsid w:val="3B58044D"/>
    <w:rsid w:val="3BEC15B8"/>
    <w:rsid w:val="3BF45A9E"/>
    <w:rsid w:val="3C0B34E6"/>
    <w:rsid w:val="3C0D7F9E"/>
    <w:rsid w:val="3C1526F1"/>
    <w:rsid w:val="3C862FFC"/>
    <w:rsid w:val="3CDF66BD"/>
    <w:rsid w:val="3D83487A"/>
    <w:rsid w:val="3DC34070"/>
    <w:rsid w:val="3DE81A6B"/>
    <w:rsid w:val="3DEF7C62"/>
    <w:rsid w:val="3E036D9C"/>
    <w:rsid w:val="3E0872CA"/>
    <w:rsid w:val="3E807647"/>
    <w:rsid w:val="3EB52671"/>
    <w:rsid w:val="3EBD519F"/>
    <w:rsid w:val="3EBE530D"/>
    <w:rsid w:val="3ECB0E66"/>
    <w:rsid w:val="3EEA4805"/>
    <w:rsid w:val="3F197305"/>
    <w:rsid w:val="3F2A6326"/>
    <w:rsid w:val="3F6D4E3C"/>
    <w:rsid w:val="3F6F7F61"/>
    <w:rsid w:val="3F966307"/>
    <w:rsid w:val="3FB4273D"/>
    <w:rsid w:val="403C2131"/>
    <w:rsid w:val="40490BBB"/>
    <w:rsid w:val="40691896"/>
    <w:rsid w:val="40EB24E5"/>
    <w:rsid w:val="40F8732A"/>
    <w:rsid w:val="4120294F"/>
    <w:rsid w:val="41753EDB"/>
    <w:rsid w:val="41983816"/>
    <w:rsid w:val="419E7577"/>
    <w:rsid w:val="41CB7708"/>
    <w:rsid w:val="41D4294B"/>
    <w:rsid w:val="41DB037B"/>
    <w:rsid w:val="42021B7B"/>
    <w:rsid w:val="422E09EA"/>
    <w:rsid w:val="424301C9"/>
    <w:rsid w:val="426A7A11"/>
    <w:rsid w:val="42947AA6"/>
    <w:rsid w:val="42EA488A"/>
    <w:rsid w:val="432665AE"/>
    <w:rsid w:val="43271A5C"/>
    <w:rsid w:val="433877E9"/>
    <w:rsid w:val="43802B1B"/>
    <w:rsid w:val="43BA16D4"/>
    <w:rsid w:val="43BE2F48"/>
    <w:rsid w:val="43CD146D"/>
    <w:rsid w:val="43CF403F"/>
    <w:rsid w:val="43D27C3D"/>
    <w:rsid w:val="444A3550"/>
    <w:rsid w:val="446E0559"/>
    <w:rsid w:val="44D565CB"/>
    <w:rsid w:val="45007964"/>
    <w:rsid w:val="45047886"/>
    <w:rsid w:val="455A1932"/>
    <w:rsid w:val="45875979"/>
    <w:rsid w:val="45B64438"/>
    <w:rsid w:val="45EB3AC7"/>
    <w:rsid w:val="46047CD2"/>
    <w:rsid w:val="461F5527"/>
    <w:rsid w:val="46E86B08"/>
    <w:rsid w:val="473939D8"/>
    <w:rsid w:val="476926D9"/>
    <w:rsid w:val="476C3BCB"/>
    <w:rsid w:val="47875B9A"/>
    <w:rsid w:val="47DE55D0"/>
    <w:rsid w:val="47E71467"/>
    <w:rsid w:val="4863386C"/>
    <w:rsid w:val="48727D88"/>
    <w:rsid w:val="488F4C9B"/>
    <w:rsid w:val="48D836F6"/>
    <w:rsid w:val="48EB5D94"/>
    <w:rsid w:val="48EC75E5"/>
    <w:rsid w:val="491D2D7B"/>
    <w:rsid w:val="492219C5"/>
    <w:rsid w:val="49AF5C4D"/>
    <w:rsid w:val="49C8111B"/>
    <w:rsid w:val="4A317AC7"/>
    <w:rsid w:val="4AC72F99"/>
    <w:rsid w:val="4AEE1E8B"/>
    <w:rsid w:val="4B4C4D05"/>
    <w:rsid w:val="4B75789A"/>
    <w:rsid w:val="4B8C78CB"/>
    <w:rsid w:val="4B8F2F67"/>
    <w:rsid w:val="4BCD51A6"/>
    <w:rsid w:val="4BEB1F34"/>
    <w:rsid w:val="4BFB227C"/>
    <w:rsid w:val="4C1C5FFA"/>
    <w:rsid w:val="4C3E5824"/>
    <w:rsid w:val="4C422B0F"/>
    <w:rsid w:val="4C4E213E"/>
    <w:rsid w:val="4C543004"/>
    <w:rsid w:val="4C744D5C"/>
    <w:rsid w:val="4C827DAC"/>
    <w:rsid w:val="4C914239"/>
    <w:rsid w:val="4CF33653"/>
    <w:rsid w:val="4D2A0865"/>
    <w:rsid w:val="4D2D4E48"/>
    <w:rsid w:val="4D7D504D"/>
    <w:rsid w:val="4D861EA2"/>
    <w:rsid w:val="4DAB11C1"/>
    <w:rsid w:val="4DFA2AA0"/>
    <w:rsid w:val="4E153671"/>
    <w:rsid w:val="4E3B5719"/>
    <w:rsid w:val="4E5E2D2C"/>
    <w:rsid w:val="4E8501C6"/>
    <w:rsid w:val="4E901B33"/>
    <w:rsid w:val="4EAE7E78"/>
    <w:rsid w:val="4ED449DA"/>
    <w:rsid w:val="4F7C3898"/>
    <w:rsid w:val="4FDD2AC1"/>
    <w:rsid w:val="50404537"/>
    <w:rsid w:val="504B35A9"/>
    <w:rsid w:val="5051551A"/>
    <w:rsid w:val="505423D3"/>
    <w:rsid w:val="508A47CF"/>
    <w:rsid w:val="50BD4411"/>
    <w:rsid w:val="50C94108"/>
    <w:rsid w:val="5118239C"/>
    <w:rsid w:val="51472145"/>
    <w:rsid w:val="515450DB"/>
    <w:rsid w:val="51BE776D"/>
    <w:rsid w:val="51DE74EA"/>
    <w:rsid w:val="51F06C48"/>
    <w:rsid w:val="51F819B4"/>
    <w:rsid w:val="520948EC"/>
    <w:rsid w:val="525E1EA5"/>
    <w:rsid w:val="5275484A"/>
    <w:rsid w:val="52B1071F"/>
    <w:rsid w:val="532414D0"/>
    <w:rsid w:val="533560CF"/>
    <w:rsid w:val="53864708"/>
    <w:rsid w:val="53A51761"/>
    <w:rsid w:val="53EE418F"/>
    <w:rsid w:val="54094FD8"/>
    <w:rsid w:val="5474647D"/>
    <w:rsid w:val="54A66117"/>
    <w:rsid w:val="54B1691A"/>
    <w:rsid w:val="550A2BBE"/>
    <w:rsid w:val="5510089D"/>
    <w:rsid w:val="551505FE"/>
    <w:rsid w:val="551745FA"/>
    <w:rsid w:val="552E72B0"/>
    <w:rsid w:val="55AD0BCD"/>
    <w:rsid w:val="55AF57A0"/>
    <w:rsid w:val="55ED46DD"/>
    <w:rsid w:val="56393EEF"/>
    <w:rsid w:val="56992DEA"/>
    <w:rsid w:val="56B601F8"/>
    <w:rsid w:val="56FA30E6"/>
    <w:rsid w:val="57773DFE"/>
    <w:rsid w:val="579F459A"/>
    <w:rsid w:val="587727C1"/>
    <w:rsid w:val="58792691"/>
    <w:rsid w:val="588418AF"/>
    <w:rsid w:val="58AA0296"/>
    <w:rsid w:val="58AA3200"/>
    <w:rsid w:val="58E23D98"/>
    <w:rsid w:val="58E56307"/>
    <w:rsid w:val="58FD443F"/>
    <w:rsid w:val="590A2B8C"/>
    <w:rsid w:val="593F4432"/>
    <w:rsid w:val="595D39C5"/>
    <w:rsid w:val="5986459C"/>
    <w:rsid w:val="598B5136"/>
    <w:rsid w:val="59BB7D31"/>
    <w:rsid w:val="59C10874"/>
    <w:rsid w:val="59F704AF"/>
    <w:rsid w:val="5A417264"/>
    <w:rsid w:val="5A8577DF"/>
    <w:rsid w:val="5ABA76A0"/>
    <w:rsid w:val="5AE07BCF"/>
    <w:rsid w:val="5AF212A0"/>
    <w:rsid w:val="5B634935"/>
    <w:rsid w:val="5BA64B1C"/>
    <w:rsid w:val="5BD060C8"/>
    <w:rsid w:val="5C19104C"/>
    <w:rsid w:val="5C390322"/>
    <w:rsid w:val="5C5779DA"/>
    <w:rsid w:val="5C6F2977"/>
    <w:rsid w:val="5C8267AB"/>
    <w:rsid w:val="5C850848"/>
    <w:rsid w:val="5CE850F3"/>
    <w:rsid w:val="5D3F77CD"/>
    <w:rsid w:val="5D5304A4"/>
    <w:rsid w:val="5D652CFC"/>
    <w:rsid w:val="5D810E9E"/>
    <w:rsid w:val="5DA57F5C"/>
    <w:rsid w:val="5DD30D9D"/>
    <w:rsid w:val="5DE257A0"/>
    <w:rsid w:val="5E1A45BA"/>
    <w:rsid w:val="5E3613A3"/>
    <w:rsid w:val="5E38519F"/>
    <w:rsid w:val="5E3F4651"/>
    <w:rsid w:val="5E6C7328"/>
    <w:rsid w:val="5E6E1C48"/>
    <w:rsid w:val="5EB44D7E"/>
    <w:rsid w:val="5EB451E4"/>
    <w:rsid w:val="5F2A1CD8"/>
    <w:rsid w:val="5F342F0B"/>
    <w:rsid w:val="5F4D2F20"/>
    <w:rsid w:val="5F7D64DA"/>
    <w:rsid w:val="5F8804A3"/>
    <w:rsid w:val="5FDB3D6D"/>
    <w:rsid w:val="5FE313C7"/>
    <w:rsid w:val="5FF5778B"/>
    <w:rsid w:val="60073D6B"/>
    <w:rsid w:val="600A0C35"/>
    <w:rsid w:val="600A0E52"/>
    <w:rsid w:val="608E4EE9"/>
    <w:rsid w:val="60A0409E"/>
    <w:rsid w:val="60A226C1"/>
    <w:rsid w:val="60E0043F"/>
    <w:rsid w:val="60F20D52"/>
    <w:rsid w:val="613415D8"/>
    <w:rsid w:val="61782325"/>
    <w:rsid w:val="6195768D"/>
    <w:rsid w:val="62046CBA"/>
    <w:rsid w:val="626468DE"/>
    <w:rsid w:val="62816372"/>
    <w:rsid w:val="62946E5F"/>
    <w:rsid w:val="62B4776A"/>
    <w:rsid w:val="634B40B1"/>
    <w:rsid w:val="635577C3"/>
    <w:rsid w:val="63571AE7"/>
    <w:rsid w:val="636C31A6"/>
    <w:rsid w:val="64130491"/>
    <w:rsid w:val="642E72D6"/>
    <w:rsid w:val="643B1A48"/>
    <w:rsid w:val="64403681"/>
    <w:rsid w:val="644D16E1"/>
    <w:rsid w:val="64C73550"/>
    <w:rsid w:val="65505AB6"/>
    <w:rsid w:val="657527C1"/>
    <w:rsid w:val="6586738E"/>
    <w:rsid w:val="65D2541E"/>
    <w:rsid w:val="65E46393"/>
    <w:rsid w:val="66636A9A"/>
    <w:rsid w:val="67280568"/>
    <w:rsid w:val="67694C19"/>
    <w:rsid w:val="67AE0E3E"/>
    <w:rsid w:val="67DE3425"/>
    <w:rsid w:val="67E547FD"/>
    <w:rsid w:val="67EB15AE"/>
    <w:rsid w:val="68592C1A"/>
    <w:rsid w:val="68814548"/>
    <w:rsid w:val="68BC6BD9"/>
    <w:rsid w:val="68D709EB"/>
    <w:rsid w:val="68EC3BA4"/>
    <w:rsid w:val="68FC691E"/>
    <w:rsid w:val="690B54D1"/>
    <w:rsid w:val="690D1B7D"/>
    <w:rsid w:val="69191F0F"/>
    <w:rsid w:val="69432DF8"/>
    <w:rsid w:val="695C0169"/>
    <w:rsid w:val="69AB30AB"/>
    <w:rsid w:val="69DD1A08"/>
    <w:rsid w:val="69EC39A7"/>
    <w:rsid w:val="6A294A7E"/>
    <w:rsid w:val="6AC344B5"/>
    <w:rsid w:val="6ACD2086"/>
    <w:rsid w:val="6AD469EE"/>
    <w:rsid w:val="6ADD3020"/>
    <w:rsid w:val="6AF83FC1"/>
    <w:rsid w:val="6B0864E4"/>
    <w:rsid w:val="6B1608FD"/>
    <w:rsid w:val="6B1C5410"/>
    <w:rsid w:val="6B467783"/>
    <w:rsid w:val="6B807C13"/>
    <w:rsid w:val="6BC473B2"/>
    <w:rsid w:val="6BEC3798"/>
    <w:rsid w:val="6C5C121A"/>
    <w:rsid w:val="6C8A66E0"/>
    <w:rsid w:val="6CAE1CC9"/>
    <w:rsid w:val="6CD6534A"/>
    <w:rsid w:val="6CE76560"/>
    <w:rsid w:val="6D442CAA"/>
    <w:rsid w:val="6D775245"/>
    <w:rsid w:val="6DAB1B7B"/>
    <w:rsid w:val="6DCD485E"/>
    <w:rsid w:val="6E0558EA"/>
    <w:rsid w:val="6E4268B4"/>
    <w:rsid w:val="6E4A5865"/>
    <w:rsid w:val="6E6630A4"/>
    <w:rsid w:val="6E674931"/>
    <w:rsid w:val="6E7071BA"/>
    <w:rsid w:val="6E7A2B0B"/>
    <w:rsid w:val="6EE3236B"/>
    <w:rsid w:val="6F1C20AA"/>
    <w:rsid w:val="6F7116FF"/>
    <w:rsid w:val="6F7C57A8"/>
    <w:rsid w:val="6F933673"/>
    <w:rsid w:val="6FC54DAA"/>
    <w:rsid w:val="6FFC3FED"/>
    <w:rsid w:val="700537E0"/>
    <w:rsid w:val="703A2A7A"/>
    <w:rsid w:val="705E4B83"/>
    <w:rsid w:val="7075711A"/>
    <w:rsid w:val="70B32A41"/>
    <w:rsid w:val="710F5F66"/>
    <w:rsid w:val="71245D56"/>
    <w:rsid w:val="712C05A0"/>
    <w:rsid w:val="715379F4"/>
    <w:rsid w:val="715567AB"/>
    <w:rsid w:val="71B77FC8"/>
    <w:rsid w:val="721C7314"/>
    <w:rsid w:val="72480C08"/>
    <w:rsid w:val="72633DC8"/>
    <w:rsid w:val="726E02CD"/>
    <w:rsid w:val="72BD622F"/>
    <w:rsid w:val="72D72F34"/>
    <w:rsid w:val="72DE40EF"/>
    <w:rsid w:val="72FD4F6F"/>
    <w:rsid w:val="72FE1F73"/>
    <w:rsid w:val="733F53E7"/>
    <w:rsid w:val="73467760"/>
    <w:rsid w:val="734A2FA0"/>
    <w:rsid w:val="7363152B"/>
    <w:rsid w:val="73893F75"/>
    <w:rsid w:val="73A46DEE"/>
    <w:rsid w:val="73D0223D"/>
    <w:rsid w:val="73D15DAA"/>
    <w:rsid w:val="73F4093E"/>
    <w:rsid w:val="747D4183"/>
    <w:rsid w:val="747F515E"/>
    <w:rsid w:val="74F772F5"/>
    <w:rsid w:val="753E3A24"/>
    <w:rsid w:val="75462F28"/>
    <w:rsid w:val="754A36BC"/>
    <w:rsid w:val="75801705"/>
    <w:rsid w:val="75882FB1"/>
    <w:rsid w:val="758962F5"/>
    <w:rsid w:val="758B6694"/>
    <w:rsid w:val="758F7CC5"/>
    <w:rsid w:val="75B018DB"/>
    <w:rsid w:val="75C35738"/>
    <w:rsid w:val="762C59AD"/>
    <w:rsid w:val="764268CD"/>
    <w:rsid w:val="765E4319"/>
    <w:rsid w:val="7662154D"/>
    <w:rsid w:val="76CC7958"/>
    <w:rsid w:val="76E76209"/>
    <w:rsid w:val="76F473C4"/>
    <w:rsid w:val="77384795"/>
    <w:rsid w:val="776775B6"/>
    <w:rsid w:val="77747A64"/>
    <w:rsid w:val="779316D4"/>
    <w:rsid w:val="77932056"/>
    <w:rsid w:val="77997F4A"/>
    <w:rsid w:val="77C4322E"/>
    <w:rsid w:val="785142D3"/>
    <w:rsid w:val="78944AA6"/>
    <w:rsid w:val="78B448A6"/>
    <w:rsid w:val="790A0781"/>
    <w:rsid w:val="793D7E6C"/>
    <w:rsid w:val="79433FEE"/>
    <w:rsid w:val="79E82DA1"/>
    <w:rsid w:val="79F8423E"/>
    <w:rsid w:val="7A105CB4"/>
    <w:rsid w:val="7A31382B"/>
    <w:rsid w:val="7A3B4DC5"/>
    <w:rsid w:val="7A6D61C4"/>
    <w:rsid w:val="7A994ADD"/>
    <w:rsid w:val="7AE72D34"/>
    <w:rsid w:val="7B122D93"/>
    <w:rsid w:val="7BA51E99"/>
    <w:rsid w:val="7BA91847"/>
    <w:rsid w:val="7BF770B5"/>
    <w:rsid w:val="7C391023"/>
    <w:rsid w:val="7C606730"/>
    <w:rsid w:val="7C7C7FB4"/>
    <w:rsid w:val="7C9B5B0E"/>
    <w:rsid w:val="7D0D39C9"/>
    <w:rsid w:val="7D1D6A92"/>
    <w:rsid w:val="7D322436"/>
    <w:rsid w:val="7D464FDA"/>
    <w:rsid w:val="7D957744"/>
    <w:rsid w:val="7DB0035B"/>
    <w:rsid w:val="7DBF45D5"/>
    <w:rsid w:val="7DE07609"/>
    <w:rsid w:val="7DF4733B"/>
    <w:rsid w:val="7E057879"/>
    <w:rsid w:val="7E162430"/>
    <w:rsid w:val="7E1E122F"/>
    <w:rsid w:val="7E6508F4"/>
    <w:rsid w:val="7E997143"/>
    <w:rsid w:val="7E9B411E"/>
    <w:rsid w:val="7EC440AC"/>
    <w:rsid w:val="7ED079AE"/>
    <w:rsid w:val="7F0E77FD"/>
    <w:rsid w:val="7F105CF3"/>
    <w:rsid w:val="7F76359E"/>
    <w:rsid w:val="7F8E592F"/>
    <w:rsid w:val="7F98516B"/>
    <w:rsid w:val="7FA83FAA"/>
    <w:rsid w:val="7FCC3970"/>
    <w:rsid w:val="7FCE6E97"/>
    <w:rsid w:val="7FD515D8"/>
    <w:rsid w:val="7FF2164F"/>
    <w:rsid w:val="7FF93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3" w:lineRule="auto"/>
      <w:outlineLvl w:val="2"/>
    </w:pPr>
    <w:rPr>
      <w:rFonts w:ascii="ˎ̥" w:hAnsi="ˎ̥"/>
      <w:b/>
      <w:bCs/>
      <w:sz w:val="32"/>
      <w:szCs w:val="32"/>
    </w:rPr>
  </w:style>
  <w:style w:type="paragraph" w:styleId="5">
    <w:name w:val="heading 4"/>
    <w:basedOn w:val="1"/>
    <w:next w:val="1"/>
    <w:qFormat/>
    <w:uiPriority w:val="0"/>
    <w:pPr>
      <w:jc w:val="center"/>
      <w:outlineLvl w:val="3"/>
    </w:p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6"/>
    </w:rPr>
  </w:style>
  <w:style w:type="paragraph" w:styleId="6">
    <w:name w:val="toc 7"/>
    <w:basedOn w:val="1"/>
    <w:next w:val="1"/>
    <w:qFormat/>
    <w:uiPriority w:val="0"/>
    <w:pPr>
      <w:ind w:left="2520" w:leftChars="1200"/>
    </w:pPr>
  </w:style>
  <w:style w:type="paragraph" w:styleId="7">
    <w:name w:val="Document Map"/>
    <w:basedOn w:val="1"/>
    <w:link w:val="49"/>
    <w:qFormat/>
    <w:uiPriority w:val="0"/>
    <w:rPr>
      <w:rFonts w:ascii="宋体"/>
      <w:sz w:val="18"/>
      <w:szCs w:val="18"/>
    </w:rPr>
  </w:style>
  <w:style w:type="paragraph" w:styleId="8">
    <w:name w:val="annotation text"/>
    <w:basedOn w:val="1"/>
    <w:link w:val="66"/>
    <w:qFormat/>
    <w:uiPriority w:val="0"/>
    <w:pPr>
      <w:jc w:val="left"/>
    </w:pPr>
  </w:style>
  <w:style w:type="paragraph" w:styleId="9">
    <w:name w:val="Body Text Indent"/>
    <w:basedOn w:val="1"/>
    <w:qFormat/>
    <w:uiPriority w:val="0"/>
    <w:pPr>
      <w:spacing w:after="120"/>
      <w:ind w:left="420" w:leftChars="200"/>
    </w:p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Plain Text"/>
    <w:basedOn w:val="1"/>
    <w:link w:val="47"/>
    <w:unhideWhenUsed/>
    <w:qFormat/>
    <w:uiPriority w:val="0"/>
    <w:rPr>
      <w:rFonts w:ascii="宋体" w:hAnsi="Courier New"/>
      <w:szCs w:val="20"/>
    </w:rPr>
  </w:style>
  <w:style w:type="paragraph" w:styleId="13">
    <w:name w:val="toc 8"/>
    <w:basedOn w:val="1"/>
    <w:next w:val="1"/>
    <w:qFormat/>
    <w:uiPriority w:val="0"/>
    <w:pPr>
      <w:ind w:left="2940" w:leftChars="1400"/>
    </w:pPr>
  </w:style>
  <w:style w:type="paragraph" w:styleId="14">
    <w:name w:val="Date"/>
    <w:basedOn w:val="1"/>
    <w:next w:val="1"/>
    <w:link w:val="41"/>
    <w:qFormat/>
    <w:uiPriority w:val="0"/>
    <w:pPr>
      <w:ind w:left="100" w:leftChars="2500"/>
    </w:pPr>
  </w:style>
  <w:style w:type="paragraph" w:styleId="15">
    <w:name w:val="Body Text Indent 2"/>
    <w:basedOn w:val="1"/>
    <w:link w:val="44"/>
    <w:qFormat/>
    <w:uiPriority w:val="0"/>
    <w:pPr>
      <w:adjustRightInd w:val="0"/>
      <w:spacing w:line="360" w:lineRule="auto"/>
      <w:ind w:left="1920"/>
      <w:jc w:val="left"/>
      <w:textAlignment w:val="baseline"/>
    </w:pPr>
    <w:rPr>
      <w:rFonts w:ascii="宋体"/>
      <w:kern w:val="0"/>
      <w:sz w:val="24"/>
      <w:szCs w:val="20"/>
    </w:rPr>
  </w:style>
  <w:style w:type="paragraph" w:styleId="16">
    <w:name w:val="Balloon Text"/>
    <w:basedOn w:val="1"/>
    <w:semiHidden/>
    <w:qFormat/>
    <w:uiPriority w:val="0"/>
    <w:rPr>
      <w:sz w:val="18"/>
      <w:szCs w:val="18"/>
    </w:rPr>
  </w:style>
  <w:style w:type="paragraph" w:styleId="17">
    <w:name w:val="footer"/>
    <w:basedOn w:val="1"/>
    <w:link w:val="42"/>
    <w:qFormat/>
    <w:uiPriority w:val="99"/>
    <w:pPr>
      <w:tabs>
        <w:tab w:val="center" w:pos="4153"/>
        <w:tab w:val="right" w:pos="8306"/>
      </w:tabs>
      <w:snapToGrid w:val="0"/>
      <w:jc w:val="left"/>
    </w:pPr>
    <w:rPr>
      <w:sz w:val="18"/>
      <w:szCs w:val="18"/>
    </w:rPr>
  </w:style>
  <w:style w:type="paragraph" w:styleId="18">
    <w:name w:val="header"/>
    <w:basedOn w:val="1"/>
    <w:link w:val="56"/>
    <w:qFormat/>
    <w:uiPriority w:val="0"/>
    <w:pP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link w:val="50"/>
    <w:qFormat/>
    <w:uiPriority w:val="0"/>
    <w:pPr>
      <w:widowControl/>
      <w:jc w:val="center"/>
    </w:pPr>
    <w:rPr>
      <w:rFonts w:ascii="ˎ̥" w:hAnsi="ˎ̥"/>
      <w:kern w:val="0"/>
      <w:sz w:val="24"/>
      <w:u w:val="single"/>
      <w:lang w:eastAsia="en-US"/>
    </w:rPr>
  </w:style>
  <w:style w:type="paragraph" w:styleId="22">
    <w:name w:val="toc 6"/>
    <w:basedOn w:val="1"/>
    <w:next w:val="1"/>
    <w:qFormat/>
    <w:uiPriority w:val="0"/>
    <w:pPr>
      <w:ind w:left="2100" w:leftChars="1000"/>
    </w:pPr>
  </w:style>
  <w:style w:type="paragraph" w:styleId="23">
    <w:name w:val="Body Text Indent 3"/>
    <w:basedOn w:val="1"/>
    <w:link w:val="45"/>
    <w:qFormat/>
    <w:uiPriority w:val="0"/>
    <w:pPr>
      <w:spacing w:line="360" w:lineRule="auto"/>
      <w:ind w:firstLine="280" w:firstLineChars="100"/>
    </w:pPr>
    <w:rPr>
      <w:rFonts w:ascii="宋体" w:hAnsi="宋体"/>
      <w:sz w:val="28"/>
      <w:szCs w:val="28"/>
    </w:rPr>
  </w:style>
  <w:style w:type="paragraph" w:styleId="24">
    <w:name w:val="toc 2"/>
    <w:basedOn w:val="1"/>
    <w:next w:val="1"/>
    <w:qFormat/>
    <w:uiPriority w:val="39"/>
    <w:pPr>
      <w:ind w:left="420" w:leftChars="200"/>
    </w:pPr>
  </w:style>
  <w:style w:type="paragraph" w:styleId="25">
    <w:name w:val="toc 9"/>
    <w:basedOn w:val="1"/>
    <w:next w:val="1"/>
    <w:qFormat/>
    <w:uiPriority w:val="0"/>
    <w:pPr>
      <w:ind w:left="3360" w:leftChars="1600"/>
    </w:pPr>
  </w:style>
  <w:style w:type="paragraph" w:styleId="26">
    <w:name w:val="Normal (Web)"/>
    <w:basedOn w:val="1"/>
    <w:qFormat/>
    <w:uiPriority w:val="0"/>
    <w:pPr>
      <w:widowControl/>
      <w:jc w:val="left"/>
    </w:pPr>
    <w:rPr>
      <w:rFonts w:ascii="宋体" w:hAnsi="宋体" w:cs="宋体"/>
      <w:kern w:val="0"/>
      <w:sz w:val="24"/>
    </w:rPr>
  </w:style>
  <w:style w:type="paragraph" w:styleId="27">
    <w:name w:val="annotation subject"/>
    <w:basedOn w:val="8"/>
    <w:next w:val="8"/>
    <w:link w:val="67"/>
    <w:qFormat/>
    <w:uiPriority w:val="0"/>
    <w:rPr>
      <w:b/>
      <w:bCs/>
    </w:rPr>
  </w:style>
  <w:style w:type="paragraph" w:styleId="28">
    <w:name w:val="Body Text First Indent"/>
    <w:basedOn w:val="2"/>
    <w:qFormat/>
    <w:uiPriority w:val="0"/>
    <w:pPr>
      <w:ind w:firstLine="420" w:firstLineChars="100"/>
    </w:pPr>
  </w:style>
  <w:style w:type="paragraph" w:styleId="29">
    <w:name w:val="Body Text First Indent 2"/>
    <w:basedOn w:val="9"/>
    <w:link w:val="55"/>
    <w:qFormat/>
    <w:uiPriority w:val="0"/>
    <w:pPr>
      <w:ind w:firstLine="420" w:firstLineChars="20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uiPriority w:val="0"/>
    <w:rPr>
      <w:rFonts w:ascii="ˎ̥" w:hAnsi="ˎ̥" w:cs="宋体"/>
      <w:kern w:val="0"/>
      <w:sz w:val="24"/>
    </w:rPr>
  </w:style>
  <w:style w:type="character" w:styleId="34">
    <w:name w:val="FollowedHyperlink"/>
    <w:basedOn w:val="32"/>
    <w:qFormat/>
    <w:uiPriority w:val="0"/>
    <w:rPr>
      <w:color w:val="296FBE"/>
      <w:u w:val="none"/>
    </w:rPr>
  </w:style>
  <w:style w:type="character" w:styleId="35">
    <w:name w:val="HTML Definition"/>
    <w:basedOn w:val="32"/>
    <w:qFormat/>
    <w:uiPriority w:val="0"/>
  </w:style>
  <w:style w:type="character" w:styleId="36">
    <w:name w:val="HTML Variable"/>
    <w:basedOn w:val="32"/>
    <w:qFormat/>
    <w:uiPriority w:val="0"/>
  </w:style>
  <w:style w:type="character" w:styleId="37">
    <w:name w:val="Hyperlink"/>
    <w:qFormat/>
    <w:uiPriority w:val="99"/>
    <w:rPr>
      <w:rFonts w:ascii="ˎ̥" w:hAnsi="ˎ̥" w:cs="宋体"/>
      <w:color w:val="0000FF"/>
      <w:kern w:val="0"/>
      <w:sz w:val="24"/>
      <w:u w:val="single"/>
    </w:rPr>
  </w:style>
  <w:style w:type="character" w:styleId="38">
    <w:name w:val="HTML Code"/>
    <w:basedOn w:val="32"/>
    <w:qFormat/>
    <w:uiPriority w:val="0"/>
    <w:rPr>
      <w:rFonts w:ascii="微软雅黑" w:hAnsi="微软雅黑" w:eastAsia="微软雅黑" w:cs="微软雅黑"/>
      <w:sz w:val="20"/>
    </w:rPr>
  </w:style>
  <w:style w:type="character" w:styleId="39">
    <w:name w:val="annotation reference"/>
    <w:basedOn w:val="32"/>
    <w:qFormat/>
    <w:uiPriority w:val="0"/>
    <w:rPr>
      <w:sz w:val="21"/>
      <w:szCs w:val="21"/>
    </w:rPr>
  </w:style>
  <w:style w:type="character" w:styleId="40">
    <w:name w:val="HTML Cite"/>
    <w:basedOn w:val="32"/>
    <w:qFormat/>
    <w:uiPriority w:val="0"/>
  </w:style>
  <w:style w:type="character" w:customStyle="1" w:styleId="41">
    <w:name w:val="日期 Char"/>
    <w:link w:val="14"/>
    <w:qFormat/>
    <w:uiPriority w:val="0"/>
    <w:rPr>
      <w:rFonts w:ascii="Times New Roman" w:hAnsi="Times New Roman"/>
      <w:kern w:val="2"/>
      <w:sz w:val="21"/>
      <w:szCs w:val="24"/>
    </w:rPr>
  </w:style>
  <w:style w:type="character" w:customStyle="1" w:styleId="42">
    <w:name w:val="页脚 Char"/>
    <w:link w:val="17"/>
    <w:qFormat/>
    <w:uiPriority w:val="99"/>
    <w:rPr>
      <w:rFonts w:ascii="Times New Roman" w:hAnsi="Times New Roman"/>
      <w:kern w:val="2"/>
      <w:sz w:val="18"/>
      <w:szCs w:val="18"/>
    </w:rPr>
  </w:style>
  <w:style w:type="character" w:customStyle="1" w:styleId="43">
    <w:name w:val="副标题 Char1"/>
    <w:qFormat/>
    <w:uiPriority w:val="0"/>
    <w:rPr>
      <w:rFonts w:ascii="Cambria" w:hAnsi="Cambria" w:cs="Times New Roman"/>
      <w:b/>
      <w:bCs/>
      <w:kern w:val="28"/>
      <w:sz w:val="32"/>
      <w:szCs w:val="32"/>
    </w:rPr>
  </w:style>
  <w:style w:type="character" w:customStyle="1" w:styleId="44">
    <w:name w:val="正文文本缩进 2 Char"/>
    <w:link w:val="15"/>
    <w:qFormat/>
    <w:uiPriority w:val="0"/>
    <w:rPr>
      <w:rFonts w:ascii="宋体"/>
      <w:sz w:val="24"/>
    </w:rPr>
  </w:style>
  <w:style w:type="character" w:customStyle="1" w:styleId="45">
    <w:name w:val="正文文本缩进 3 Char"/>
    <w:link w:val="23"/>
    <w:qFormat/>
    <w:uiPriority w:val="0"/>
    <w:rPr>
      <w:rFonts w:ascii="宋体" w:hAnsi="宋体" w:cs="宋体"/>
      <w:kern w:val="2"/>
      <w:sz w:val="28"/>
      <w:szCs w:val="28"/>
    </w:rPr>
  </w:style>
  <w:style w:type="character" w:customStyle="1" w:styleId="46">
    <w:name w:val="标题 2 Char"/>
    <w:link w:val="3"/>
    <w:qFormat/>
    <w:uiPriority w:val="0"/>
    <w:rPr>
      <w:rFonts w:ascii="Arial" w:hAnsi="Arial" w:eastAsia="黑体" w:cs="宋体"/>
      <w:b/>
      <w:bCs/>
      <w:kern w:val="2"/>
      <w:sz w:val="32"/>
      <w:szCs w:val="32"/>
    </w:rPr>
  </w:style>
  <w:style w:type="character" w:customStyle="1" w:styleId="47">
    <w:name w:val="纯文本 Char"/>
    <w:link w:val="12"/>
    <w:qFormat/>
    <w:uiPriority w:val="0"/>
    <w:rPr>
      <w:rFonts w:ascii="宋体" w:hAnsi="Courier New"/>
      <w:kern w:val="2"/>
      <w:sz w:val="21"/>
      <w:lang w:bidi="ar-SA"/>
    </w:rPr>
  </w:style>
  <w:style w:type="character" w:customStyle="1" w:styleId="48">
    <w:name w:val="Char Char15"/>
    <w:qFormat/>
    <w:uiPriority w:val="0"/>
    <w:rPr>
      <w:rFonts w:ascii="宋体" w:hAnsi="Courier New" w:eastAsia="宋体" w:cs="Courier New"/>
      <w:kern w:val="2"/>
      <w:sz w:val="21"/>
      <w:szCs w:val="21"/>
      <w:lang w:val="en-US" w:eastAsia="zh-CN" w:bidi="ar-SA"/>
    </w:rPr>
  </w:style>
  <w:style w:type="character" w:customStyle="1" w:styleId="49">
    <w:name w:val="文档结构图 Char"/>
    <w:link w:val="7"/>
    <w:qFormat/>
    <w:uiPriority w:val="0"/>
    <w:rPr>
      <w:rFonts w:ascii="宋体"/>
      <w:kern w:val="2"/>
      <w:sz w:val="18"/>
      <w:szCs w:val="18"/>
    </w:rPr>
  </w:style>
  <w:style w:type="character" w:customStyle="1" w:styleId="50">
    <w:name w:val="副标题 Char"/>
    <w:link w:val="21"/>
    <w:qFormat/>
    <w:uiPriority w:val="0"/>
    <w:rPr>
      <w:rFonts w:ascii="ˎ̥" w:hAnsi="ˎ̥" w:cs="宋体"/>
      <w:sz w:val="24"/>
      <w:szCs w:val="24"/>
      <w:u w:val="single"/>
      <w:lang w:eastAsia="en-US"/>
    </w:rPr>
  </w:style>
  <w:style w:type="character" w:customStyle="1" w:styleId="51">
    <w:name w:val="font01"/>
    <w:qFormat/>
    <w:uiPriority w:val="0"/>
    <w:rPr>
      <w:rFonts w:hint="eastAsia" w:ascii="宋体" w:hAnsi="宋体" w:eastAsia="宋体" w:cs="宋体"/>
      <w:color w:val="000000"/>
      <w:sz w:val="18"/>
      <w:szCs w:val="18"/>
      <w:u w:val="none"/>
    </w:rPr>
  </w:style>
  <w:style w:type="character" w:customStyle="1" w:styleId="52">
    <w:name w:val="标题 3 Char"/>
    <w:link w:val="4"/>
    <w:qFormat/>
    <w:uiPriority w:val="0"/>
    <w:rPr>
      <w:rFonts w:ascii="ˎ̥" w:hAnsi="ˎ̥" w:cs="宋体"/>
      <w:b/>
      <w:bCs/>
      <w:kern w:val="2"/>
      <w:sz w:val="32"/>
      <w:szCs w:val="32"/>
    </w:rPr>
  </w:style>
  <w:style w:type="character" w:customStyle="1" w:styleId="53">
    <w:name w:val="正文文本缩进 3 Char1"/>
    <w:qFormat/>
    <w:uiPriority w:val="0"/>
    <w:rPr>
      <w:rFonts w:ascii="Times New Roman" w:hAnsi="Times New Roman"/>
      <w:kern w:val="2"/>
      <w:sz w:val="16"/>
      <w:szCs w:val="16"/>
    </w:rPr>
  </w:style>
  <w:style w:type="character" w:customStyle="1" w:styleId="54">
    <w:name w:val="正文文本缩进 2 Char1"/>
    <w:qFormat/>
    <w:uiPriority w:val="0"/>
    <w:rPr>
      <w:kern w:val="2"/>
      <w:sz w:val="21"/>
      <w:szCs w:val="24"/>
    </w:rPr>
  </w:style>
  <w:style w:type="character" w:customStyle="1" w:styleId="55">
    <w:name w:val="正文首行缩进 2 Char"/>
    <w:link w:val="29"/>
    <w:qFormat/>
    <w:uiPriority w:val="0"/>
    <w:rPr>
      <w:rFonts w:eastAsia="宋体"/>
      <w:kern w:val="2"/>
      <w:sz w:val="21"/>
      <w:szCs w:val="24"/>
      <w:lang w:val="en-US" w:eastAsia="zh-CN" w:bidi="ar-SA"/>
    </w:rPr>
  </w:style>
  <w:style w:type="character" w:customStyle="1" w:styleId="56">
    <w:name w:val="页眉 Char"/>
    <w:link w:val="18"/>
    <w:qFormat/>
    <w:uiPriority w:val="0"/>
    <w:rPr>
      <w:kern w:val="2"/>
      <w:sz w:val="18"/>
      <w:szCs w:val="18"/>
    </w:rPr>
  </w:style>
  <w:style w:type="paragraph" w:customStyle="1" w:styleId="57">
    <w:name w:val="pa-34"/>
    <w:basedOn w:val="1"/>
    <w:qFormat/>
    <w:uiPriority w:val="0"/>
    <w:pPr>
      <w:widowControl/>
      <w:spacing w:line="360" w:lineRule="atLeast"/>
      <w:ind w:firstLine="420"/>
      <w:jc w:val="left"/>
    </w:pPr>
    <w:rPr>
      <w:rFonts w:ascii="宋体" w:hAnsi="宋体" w:cs="宋体"/>
      <w:kern w:val="0"/>
      <w:sz w:val="24"/>
    </w:rPr>
  </w:style>
  <w:style w:type="paragraph" w:customStyle="1" w:styleId="58">
    <w:name w:val="p0"/>
    <w:basedOn w:val="1"/>
    <w:qFormat/>
    <w:uiPriority w:val="0"/>
    <w:pPr>
      <w:widowControl/>
    </w:pPr>
    <w:rPr>
      <w:kern w:val="0"/>
      <w:szCs w:val="21"/>
    </w:rPr>
  </w:style>
  <w:style w:type="paragraph" w:customStyle="1" w:styleId="59">
    <w:name w:val="p18"/>
    <w:basedOn w:val="1"/>
    <w:qFormat/>
    <w:uiPriority w:val="0"/>
    <w:pPr>
      <w:widowControl/>
      <w:ind w:firstLine="420"/>
    </w:pPr>
    <w:rPr>
      <w:kern w:val="0"/>
      <w:sz w:val="28"/>
      <w:szCs w:val="28"/>
    </w:rPr>
  </w:style>
  <w:style w:type="paragraph" w:customStyle="1" w:styleId="60">
    <w:name w:val="_Style 57"/>
    <w:basedOn w:val="1"/>
    <w:qFormat/>
    <w:uiPriority w:val="0"/>
    <w:rPr>
      <w:szCs w:val="20"/>
    </w:rPr>
  </w:style>
  <w:style w:type="paragraph" w:customStyle="1" w:styleId="61">
    <w:name w:val="p20"/>
    <w:basedOn w:val="1"/>
    <w:qFormat/>
    <w:uiPriority w:val="0"/>
    <w:pPr>
      <w:widowControl/>
      <w:jc w:val="left"/>
    </w:pPr>
    <w:rPr>
      <w:rFonts w:ascii="宋体" w:hAnsi="宋体" w:cs="宋体"/>
      <w:kern w:val="0"/>
      <w:sz w:val="24"/>
    </w:rPr>
  </w:style>
  <w:style w:type="paragraph" w:customStyle="1" w:styleId="62">
    <w:name w:val="Char"/>
    <w:basedOn w:val="1"/>
    <w:qFormat/>
    <w:uiPriority w:val="0"/>
    <w:pPr>
      <w:widowControl/>
      <w:spacing w:after="160" w:line="240" w:lineRule="exact"/>
      <w:jc w:val="left"/>
    </w:pPr>
    <w:rPr>
      <w:szCs w:val="20"/>
    </w:rPr>
  </w:style>
  <w:style w:type="paragraph" w:customStyle="1" w:styleId="63">
    <w:name w:val="列出段落1"/>
    <w:basedOn w:val="1"/>
    <w:qFormat/>
    <w:uiPriority w:val="0"/>
    <w:pPr>
      <w:ind w:firstLine="420" w:firstLineChars="200"/>
    </w:pPr>
  </w:style>
  <w:style w:type="paragraph" w:customStyle="1" w:styleId="64">
    <w:name w:val="p19"/>
    <w:basedOn w:val="1"/>
    <w:qFormat/>
    <w:uiPriority w:val="0"/>
    <w:pPr>
      <w:widowControl/>
      <w:jc w:val="left"/>
    </w:pPr>
    <w:rPr>
      <w:b/>
      <w:bCs/>
      <w:caps/>
      <w:kern w:val="0"/>
      <w:sz w:val="28"/>
      <w:szCs w:val="28"/>
    </w:rPr>
  </w:style>
  <w:style w:type="paragraph" w:customStyle="1" w:styleId="6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66">
    <w:name w:val="批注文字 Char"/>
    <w:basedOn w:val="32"/>
    <w:link w:val="8"/>
    <w:qFormat/>
    <w:uiPriority w:val="0"/>
    <w:rPr>
      <w:kern w:val="2"/>
      <w:sz w:val="21"/>
      <w:szCs w:val="24"/>
    </w:rPr>
  </w:style>
  <w:style w:type="character" w:customStyle="1" w:styleId="67">
    <w:name w:val="批注主题 Char"/>
    <w:basedOn w:val="66"/>
    <w:link w:val="27"/>
    <w:qFormat/>
    <w:uiPriority w:val="0"/>
    <w:rPr>
      <w:kern w:val="2"/>
      <w:sz w:val="21"/>
      <w:szCs w:val="24"/>
    </w:rPr>
  </w:style>
  <w:style w:type="character" w:customStyle="1" w:styleId="68">
    <w:name w:val="xdrichtextbox2"/>
    <w:basedOn w:val="32"/>
    <w:qFormat/>
    <w:uiPriority w:val="0"/>
  </w:style>
  <w:style w:type="character" w:customStyle="1" w:styleId="69">
    <w:name w:val="w32"/>
    <w:basedOn w:val="32"/>
    <w:qFormat/>
    <w:uiPriority w:val="0"/>
  </w:style>
  <w:style w:type="character" w:customStyle="1" w:styleId="70">
    <w:name w:val="moreaction32"/>
    <w:basedOn w:val="32"/>
    <w:qFormat/>
    <w:uiPriority w:val="0"/>
  </w:style>
  <w:style w:type="character" w:customStyle="1" w:styleId="71">
    <w:name w:val="cy"/>
    <w:basedOn w:val="32"/>
    <w:qFormat/>
    <w:uiPriority w:val="0"/>
  </w:style>
  <w:style w:type="character" w:customStyle="1" w:styleId="72">
    <w:name w:val="hilite6"/>
    <w:basedOn w:val="32"/>
    <w:qFormat/>
    <w:uiPriority w:val="0"/>
    <w:rPr>
      <w:color w:val="FFFFFF"/>
      <w:shd w:val="clear" w:color="auto" w:fill="666666"/>
    </w:rPr>
  </w:style>
  <w:style w:type="character" w:customStyle="1" w:styleId="73">
    <w:name w:val="active7"/>
    <w:basedOn w:val="32"/>
    <w:qFormat/>
    <w:uiPriority w:val="0"/>
    <w:rPr>
      <w:color w:val="00FF00"/>
      <w:shd w:val="clear" w:color="auto" w:fill="111111"/>
    </w:rPr>
  </w:style>
  <w:style w:type="character" w:customStyle="1" w:styleId="74">
    <w:name w:val="hover46"/>
    <w:basedOn w:val="32"/>
    <w:qFormat/>
    <w:uiPriority w:val="0"/>
    <w:rPr>
      <w:color w:val="FFFFFF"/>
    </w:rPr>
  </w:style>
  <w:style w:type="character" w:customStyle="1" w:styleId="75">
    <w:name w:val="color_gray3"/>
    <w:basedOn w:val="32"/>
    <w:qFormat/>
    <w:uiPriority w:val="0"/>
    <w:rPr>
      <w:color w:val="999999"/>
    </w:rPr>
  </w:style>
  <w:style w:type="character" w:customStyle="1" w:styleId="76">
    <w:name w:val="browse_class&gt;span"/>
    <w:basedOn w:val="32"/>
    <w:qFormat/>
    <w:uiPriority w:val="0"/>
  </w:style>
  <w:style w:type="character" w:customStyle="1" w:styleId="77">
    <w:name w:val="pagechatarealistclose_box"/>
    <w:basedOn w:val="32"/>
    <w:qFormat/>
    <w:uiPriority w:val="0"/>
  </w:style>
  <w:style w:type="character" w:customStyle="1" w:styleId="78">
    <w:name w:val="pagechatarealistclose_box1"/>
    <w:basedOn w:val="32"/>
    <w:qFormat/>
    <w:uiPriority w:val="0"/>
  </w:style>
  <w:style w:type="character" w:customStyle="1" w:styleId="79">
    <w:name w:val="button4"/>
    <w:basedOn w:val="32"/>
    <w:qFormat/>
    <w:uiPriority w:val="0"/>
  </w:style>
  <w:style w:type="character" w:customStyle="1" w:styleId="80">
    <w:name w:val="cdropright"/>
    <w:basedOn w:val="32"/>
    <w:qFormat/>
    <w:uiPriority w:val="0"/>
  </w:style>
  <w:style w:type="character" w:customStyle="1" w:styleId="81">
    <w:name w:val="drapbtn"/>
    <w:basedOn w:val="32"/>
    <w:qFormat/>
    <w:uiPriority w:val="0"/>
  </w:style>
  <w:style w:type="character" w:customStyle="1" w:styleId="82">
    <w:name w:val="cdropleft"/>
    <w:basedOn w:val="32"/>
    <w:qFormat/>
    <w:uiPriority w:val="0"/>
  </w:style>
  <w:style w:type="character" w:customStyle="1" w:styleId="83">
    <w:name w:val="ico1656"/>
    <w:basedOn w:val="32"/>
    <w:qFormat/>
    <w:uiPriority w:val="0"/>
  </w:style>
  <w:style w:type="character" w:customStyle="1" w:styleId="84">
    <w:name w:val="ico1657"/>
    <w:basedOn w:val="32"/>
    <w:qFormat/>
    <w:uiPriority w:val="0"/>
  </w:style>
  <w:style w:type="character" w:customStyle="1" w:styleId="85">
    <w:name w:val="ico1658"/>
    <w:basedOn w:val="32"/>
    <w:qFormat/>
    <w:uiPriority w:val="0"/>
  </w:style>
  <w:style w:type="character" w:customStyle="1" w:styleId="86">
    <w:name w:val="estimate_gray"/>
    <w:basedOn w:val="32"/>
    <w:qFormat/>
    <w:uiPriority w:val="0"/>
    <w:rPr>
      <w:color w:val="FFFFFF"/>
    </w:rPr>
  </w:style>
  <w:style w:type="character" w:customStyle="1" w:styleId="87">
    <w:name w:val="after"/>
    <w:basedOn w:val="32"/>
    <w:qFormat/>
    <w:uiPriority w:val="0"/>
    <w:rPr>
      <w:sz w:val="0"/>
      <w:szCs w:val="0"/>
    </w:rPr>
  </w:style>
  <w:style w:type="character" w:customStyle="1" w:styleId="88">
    <w:name w:val="last-child"/>
    <w:basedOn w:val="32"/>
    <w:qFormat/>
    <w:uiPriority w:val="0"/>
  </w:style>
  <w:style w:type="character" w:customStyle="1" w:styleId="89">
    <w:name w:val="tmpztreemove_arrow"/>
    <w:basedOn w:val="32"/>
    <w:qFormat/>
    <w:uiPriority w:val="0"/>
  </w:style>
  <w:style w:type="character" w:customStyle="1" w:styleId="90">
    <w:name w:val="edit_class"/>
    <w:basedOn w:val="32"/>
    <w:qFormat/>
    <w:uiPriority w:val="0"/>
  </w:style>
  <w:style w:type="character" w:customStyle="1" w:styleId="91">
    <w:name w:val="liked_gray"/>
    <w:basedOn w:val="32"/>
    <w:qFormat/>
    <w:uiPriority w:val="0"/>
    <w:rPr>
      <w:color w:val="FFFFFF"/>
    </w:rPr>
  </w:style>
  <w:style w:type="character" w:customStyle="1" w:styleId="92">
    <w:name w:val="design_class"/>
    <w:basedOn w:val="32"/>
    <w:qFormat/>
    <w:uiPriority w:val="0"/>
  </w:style>
  <w:style w:type="character" w:customStyle="1" w:styleId="93">
    <w:name w:val="biggerthanmax"/>
    <w:basedOn w:val="32"/>
    <w:qFormat/>
    <w:uiPriority w:val="0"/>
    <w:rPr>
      <w:shd w:val="clear" w:color="auto" w:fill="FFFF00"/>
    </w:rPr>
  </w:style>
  <w:style w:type="paragraph" w:customStyle="1" w:styleId="9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重庆天合工程技术咨询有限公司（www.Tianhe.com）</Company>
  <Pages>93</Pages>
  <Words>7936</Words>
  <Characters>45241</Characters>
  <Lines>377</Lines>
  <Paragraphs>106</Paragraphs>
  <TotalTime>1</TotalTime>
  <ScaleCrop>false</ScaleCrop>
  <LinksUpToDate>false</LinksUpToDate>
  <CharactersWithSpaces>53071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2020-01-07T01:00:00Z</dcterms:created>
  <dc:creator>宏达</dc:creator>
  <cp:lastModifiedBy>龚晟煦</cp:lastModifiedBy>
  <cp:lastPrinted>2020-01-07T00:50:00Z</cp:lastPrinted>
  <dcterms:modified xsi:type="dcterms:W3CDTF">2020-09-04T02:04:36Z</dcterms:modified>
  <dc:title>重庆市公安局沙坪坝区分局香炉山派出所装饰工程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