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大渡口院区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食堂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外包项目需求书</w:t>
      </w:r>
    </w:p>
    <w:p>
      <w:pPr>
        <w:numPr>
          <w:ilvl w:val="0"/>
          <w:numId w:val="0"/>
        </w:numPr>
        <w:spacing w:line="400" w:lineRule="exact"/>
        <w:ind w:firstLine="361" w:firstLineChars="100"/>
        <w:jc w:val="center"/>
        <w:outlineLvl w:val="2"/>
        <w:rPr>
          <w:rStyle w:val="15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361" w:firstLineChars="100"/>
        <w:jc w:val="center"/>
        <w:outlineLvl w:val="2"/>
        <w:rPr>
          <w:rStyle w:val="15"/>
          <w:rFonts w:hint="eastAsia" w:ascii="仿宋" w:hAnsi="仿宋" w:eastAsia="仿宋" w:cs="仿宋"/>
          <w:b/>
          <w:bCs/>
          <w:color w:val="auto"/>
          <w:sz w:val="44"/>
          <w:szCs w:val="44"/>
          <w:u w:val="none"/>
        </w:rPr>
      </w:pPr>
      <w:r>
        <w:rPr>
          <w:rStyle w:val="15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 xml:space="preserve">第一篇  </w:t>
      </w:r>
      <w:r>
        <w:rPr>
          <w:rStyle w:val="15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项目技术规格、数量及质量要求</w:t>
      </w:r>
    </w:p>
    <w:p>
      <w:pPr>
        <w:pStyle w:val="2"/>
        <w:numPr>
          <w:ilvl w:val="0"/>
          <w:numId w:val="1"/>
        </w:numPr>
        <w:spacing w:line="440" w:lineRule="exact"/>
        <w:ind w:left="20" w:leftChars="0" w:firstLine="482" w:firstLineChars="0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506365122"/>
      <w:bookmarkStart w:id="1" w:name="_Toc499571489"/>
      <w:bookmarkStart w:id="2" w:name="_Toc498792110"/>
      <w:r>
        <w:rPr>
          <w:rFonts w:hint="eastAsia" w:ascii="仿宋" w:hAnsi="仿宋" w:eastAsia="仿宋" w:cs="仿宋"/>
          <w:b/>
          <w:sz w:val="28"/>
          <w:szCs w:val="28"/>
        </w:rPr>
        <w:t>项目基本概况介绍</w:t>
      </w:r>
      <w:bookmarkEnd w:id="0"/>
      <w:bookmarkEnd w:id="1"/>
      <w:bookmarkEnd w:id="2"/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重庆医科大学附属康复医院大渡口院区</w:t>
      </w:r>
      <w:r>
        <w:rPr>
          <w:rFonts w:hint="eastAsia" w:ascii="仿宋" w:hAnsi="仿宋" w:eastAsia="仿宋" w:cs="仿宋"/>
          <w:sz w:val="28"/>
          <w:szCs w:val="28"/>
        </w:rPr>
        <w:t>餐饮服务项目，由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厨房食堂软装，</w:t>
      </w:r>
      <w:r>
        <w:rPr>
          <w:rFonts w:hint="eastAsia" w:ascii="仿宋" w:hAnsi="仿宋" w:eastAsia="仿宋" w:cs="仿宋"/>
          <w:sz w:val="28"/>
          <w:szCs w:val="28"/>
        </w:rPr>
        <w:t>提供厨房员工和服务人员，负责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餐饮服务、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食堂</w:t>
      </w:r>
      <w:r>
        <w:rPr>
          <w:rFonts w:hint="eastAsia" w:ascii="仿宋" w:hAnsi="仿宋" w:eastAsia="仿宋" w:cs="仿宋"/>
          <w:sz w:val="28"/>
          <w:szCs w:val="28"/>
        </w:rPr>
        <w:t>和人员日常管理，做到及时、卫生、安全、营养、热情、周到，并接受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的监督考核。</w:t>
      </w:r>
    </w:p>
    <w:p>
      <w:pPr>
        <w:adjustRightInd w:val="0"/>
        <w:snapToGrid w:val="0"/>
        <w:spacing w:line="44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（一）场地情况：</w:t>
      </w:r>
    </w:p>
    <w:p>
      <w:pPr>
        <w:spacing w:line="400" w:lineRule="exact"/>
        <w:ind w:firstLine="560" w:firstLineChars="200"/>
        <w:outlineLvl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重庆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医科大学康复医院大渡口院区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食堂位于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</w:rPr>
        <w:t>重庆市主城大渡口区金桥路12号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总面积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800平方米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正在装修。</w:t>
      </w:r>
    </w:p>
    <w:p>
      <w:pPr>
        <w:spacing w:line="400" w:lineRule="exact"/>
        <w:ind w:firstLine="560" w:firstLineChars="200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黄水院区食堂位于重庆市石柱自治县黄水镇莼乡路287号，分上下两层楼，总面积约1400平方米，可直接正常使用。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大公馆院区食堂位于重庆市九龙坡区谢家湾文化七村50号，总面积约150平方米。</w:t>
      </w:r>
    </w:p>
    <w:p>
      <w:pPr>
        <w:spacing w:line="400" w:lineRule="exact"/>
        <w:ind w:firstLine="560" w:firstLineChars="200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（二）就餐情况：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职工和病员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餐区：按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套餐和点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套餐可选择不同荤素组合方案，针对病员提供各类营养餐等。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接待用餐服务：采取桌餐、自助餐、汤锅、火锅等形式，菜单、价格按照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和接待方要求确定；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要求的其他用餐服务。</w:t>
      </w:r>
    </w:p>
    <w:p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3" w:name="_Toc429584806"/>
      <w:bookmarkStart w:id="4" w:name="_Toc15405"/>
      <w:bookmarkStart w:id="5" w:name="_Toc429584853"/>
      <w:bookmarkStart w:id="6" w:name="_Toc506365123"/>
      <w:bookmarkStart w:id="7" w:name="_Toc499571490"/>
      <w:bookmarkStart w:id="8" w:name="_Toc498792111"/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bookmarkEnd w:id="3"/>
      <w:bookmarkEnd w:id="4"/>
      <w:bookmarkEnd w:id="5"/>
      <w:r>
        <w:rPr>
          <w:rFonts w:hint="eastAsia" w:ascii="仿宋" w:hAnsi="仿宋" w:eastAsia="仿宋" w:cs="仿宋"/>
          <w:b/>
          <w:sz w:val="28"/>
          <w:szCs w:val="28"/>
        </w:rPr>
        <w:t>服务需求</w:t>
      </w:r>
      <w:bookmarkEnd w:id="6"/>
      <w:bookmarkEnd w:id="7"/>
      <w:bookmarkEnd w:id="8"/>
    </w:p>
    <w:p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（一）供餐种类及标准：</w:t>
      </w:r>
    </w:p>
    <w:p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职工和病员</w:t>
      </w:r>
      <w:r>
        <w:rPr>
          <w:rFonts w:hint="eastAsia" w:ascii="仿宋" w:hAnsi="仿宋" w:eastAsia="仿宋" w:cs="仿宋"/>
          <w:sz w:val="28"/>
          <w:szCs w:val="28"/>
        </w:rPr>
        <w:t>餐区：按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要求的用餐标准提供早、中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晚三</w:t>
      </w:r>
      <w:r>
        <w:rPr>
          <w:rFonts w:hint="eastAsia" w:ascii="仿宋" w:hAnsi="仿宋" w:eastAsia="仿宋" w:cs="仿宋"/>
          <w:sz w:val="28"/>
          <w:szCs w:val="28"/>
        </w:rPr>
        <w:t>餐用餐服务；</w:t>
      </w:r>
    </w:p>
    <w:p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</w:rPr>
        <w:t>接待服务：做好接待用餐服务（包括节假日的早、中、晚餐等）。</w:t>
      </w:r>
    </w:p>
    <w:p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（二）菜品要求：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保证菜品加工制作过程符合食品质量卫生相关要求。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2.实行菜谱审核制度。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必须在每周五前将下一周菜谱交由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进行审核；接待工作餐应提前将菜单交订餐单位进行审核。</w:t>
      </w:r>
    </w:p>
    <w:p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（三）人员岗位设置及要求：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49023467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人员配备应有以下人员：行政管理人员、厨师、服务员及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需配备的其它人员，由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明确每类所需的工作人员。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1.行政管理人员：全面负责食堂、接待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的日常管理工作，监督指导厨师长、服务人员的工作。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2.厨师：厨师长须具有中级（二级）厨师以上资格证书，厨师均须具有厨师资格证且至少有一名川菜系以外的厨师。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服务人员：年龄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合适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，形象气质好。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4.服务员上岗前，须经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审验年龄、文化程度、气质形象等。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5.所有人员要求身体健康，并持有有效健康合格证，相关体检费用由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6.员工须统一着装，服装费用由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负责，工作时衣着形象卫生整洁，服务热情周到、礼貌快捷。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应对所有员工登记造册。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须保证厨师、服务员等人员的稳定性，如遇特殊情况需要更换，必须经过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同意后方能更换。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（四）</w:t>
      </w:r>
      <w:bookmarkEnd w:id="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安全要求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1.严格执行有关食品卫生安全的法规及管理制度，确保食品安全、卫生，并承担食品安全责任。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所有经营管理和服务行为必须符合卫生行政主管部门和行业要求，必须办理食品卫生许可证等相关证件。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3.食品及菜品按规定留样备查。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4.做好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的安全防范，严禁无关人员进入厨房区域。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的食品安全、菜品质量及设备维护等进行监督管理，并提出整改意见。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负责制定和实施餐饮服务、安全管理、卫生防疫、节约能源等的实施方案和管理措施，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有权对此进行监督，并对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违规行为进行处罚。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、厨房设施设备用品的安全管理，就餐完毕应及时对餐具清洗消毒后再存放，节假日后餐具应重洗，若发生丢失或人为原因损坏，由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承担经济赔偿责任。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8.协助做好服务区域病媒生物防治工作。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9.建立设施设备使用和维修维护档案，负责做好日常维修维护，确保设施、设备正常运行。对地毯、座椅等设施定期进行清洁保养，保证服务区域整洁、美观，相关费用由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承担。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10.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交付使用的设施设备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用品建立清单，承包期满，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对照清单进行清点，如有损坏，须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照价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赔偿。服务过程中，如需增配餐厨用具，由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自行承担费用。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负责做好员工的安全教育和日常管理，确保所属员工的人身及财产安全。所属员工因工作中操作不当造成事故或人身财产等遭受损害的</w:t>
      </w:r>
      <w:r>
        <w:rPr>
          <w:rFonts w:hint="eastAsia" w:ascii="仿宋" w:hAnsi="仿宋" w:eastAsia="仿宋" w:cs="仿宋"/>
          <w:sz w:val="28"/>
          <w:szCs w:val="28"/>
        </w:rPr>
        <w:t>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承担全部责任。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（五）管理要求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1.承接项目时，对所有场所、设施、设备进行认真查验，对物资进行详细清点，验收手续齐全；管理过程中，正确使用设施设备，建立维修保洁制度，规范使用餐厨用具等物资。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2.不得分包、转包。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.按时供餐，做好就餐服务应急方案，确保在特殊情况下能正常就餐。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.剩余饭菜禁止再次加工。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.应对所有员工登记造册并按时缴纳社会保险等费用。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对菜品质量和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食堂</w:t>
      </w:r>
      <w:r>
        <w:rPr>
          <w:rFonts w:hint="eastAsia" w:ascii="仿宋" w:hAnsi="仿宋" w:eastAsia="仿宋" w:cs="仿宋"/>
          <w:sz w:val="28"/>
          <w:szCs w:val="28"/>
        </w:rPr>
        <w:t>管理的建议意见，并在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sz w:val="28"/>
          <w:szCs w:val="28"/>
        </w:rPr>
        <w:t>小时内予以回复整改情况。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有权随时抽查企业资质证明、人员健康证明及从业资质证明。</w:t>
      </w:r>
    </w:p>
    <w:p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.提供的服务和人员配备不能满足就餐服务需求的，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有权解除合同。</w:t>
      </w:r>
    </w:p>
    <w:p>
      <w:pPr>
        <w:pStyle w:val="29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.服从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的其他安排。</w:t>
      </w:r>
    </w:p>
    <w:p>
      <w:pPr>
        <w:pStyle w:val="29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（六）其他要求</w:t>
      </w:r>
    </w:p>
    <w:p>
      <w:pPr>
        <w:pStyle w:val="29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eastAsia="zh-CN"/>
        </w:rPr>
        <w:t>经营方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聘用的员工须无违法犯罪记录。</w:t>
      </w:r>
    </w:p>
    <w:p>
      <w:pPr>
        <w:pStyle w:val="29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2.食品安全事故和其他安全事故为0。</w:t>
      </w:r>
    </w:p>
    <w:p>
      <w:pPr>
        <w:pStyle w:val="29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3.就餐人员《满意度调查表》满意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度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须达到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85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%以上。</w:t>
      </w:r>
    </w:p>
    <w:p>
      <w:pPr>
        <w:pStyle w:val="29"/>
        <w:spacing w:line="440" w:lineRule="exact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10" w:name="_Toc506365125"/>
      <w:bookmarkStart w:id="11" w:name="_Toc499571492"/>
      <w:bookmarkStart w:id="12" w:name="_Toc498792113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、现场踏勘</w:t>
      </w:r>
      <w:bookmarkEnd w:id="10"/>
      <w:bookmarkEnd w:id="11"/>
      <w:bookmarkEnd w:id="12"/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项目不统一组织现场踏勘，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应自行对现场进行踏勘，现场踏勘产生的一切费用及安全责任由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自行承担。</w:t>
      </w:r>
      <w:bookmarkStart w:id="13" w:name="_Toc506365126"/>
    </w:p>
    <w:p>
      <w:pPr>
        <w:pStyle w:val="3"/>
        <w:spacing w:before="0" w:beforeLines="0" w:after="0" w:afterLines="0"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hint="eastAsia"/>
        </w:rPr>
      </w:pPr>
    </w:p>
    <w:p>
      <w:pPr>
        <w:pStyle w:val="3"/>
        <w:spacing w:before="0" w:beforeLines="0" w:after="0" w:afterLines="0"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项目商务要求</w:t>
      </w:r>
      <w:bookmarkEnd w:id="13"/>
    </w:p>
    <w:p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4" w:name="_Toc21815"/>
      <w:bookmarkStart w:id="15" w:name="_Toc499571494"/>
      <w:bookmarkStart w:id="16" w:name="_Toc498792115"/>
      <w:bookmarkStart w:id="17" w:name="_Toc506365127"/>
      <w:bookmarkStart w:id="18" w:name="_Toc28722"/>
      <w:bookmarkStart w:id="19" w:name="_Toc2735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一、</w:t>
      </w:r>
      <w:bookmarkEnd w:id="1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服务期、服务地点及检查验收</w:t>
      </w:r>
      <w:bookmarkEnd w:id="15"/>
      <w:bookmarkEnd w:id="16"/>
      <w:bookmarkEnd w:id="17"/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（一）服务期：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经营方自负盈亏。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考核、满意度达不到要求或在食品安全、服务质量方面出现重大问题的，采购人有权单方面终止合同且不退还履约保证金。</w:t>
      </w:r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大渡口院区：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</w:rPr>
        <w:t>重庆市主城大渡口区金桥路12号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黄水院区：重庆市石柱自治县黄水镇莼乡路287号</w:t>
      </w:r>
    </w:p>
    <w:p>
      <w:pPr>
        <w:pStyle w:val="2"/>
        <w:ind w:firstLine="2800" w:firstLineChars="10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大公馆院区：重庆市九龙坡区谢家湾文化七村50号（此地点要根据需求方当时的实际需求，交由经营方提供餐饮服务）。</w:t>
      </w:r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监督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检查：</w:t>
      </w:r>
    </w:p>
    <w:p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对餐饮服务的主要内容及要求，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应在合同约定时间内完成好餐饮服务工作，满足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要求。</w:t>
      </w:r>
    </w:p>
    <w:p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提供的餐饮服务内容与采购合同一致，达到规定的要求；</w:t>
      </w:r>
    </w:p>
    <w:p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在提供餐饮服务期间所出现的问题得到解决，并保证餐饮服务工作正常运行；</w:t>
      </w:r>
    </w:p>
    <w:p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完成合同中约定的其他事项。</w:t>
      </w:r>
    </w:p>
    <w:p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20" w:name="_Toc498792116"/>
      <w:bookmarkStart w:id="21" w:name="_Toc506365128"/>
      <w:bookmarkStart w:id="22" w:name="_Toc17698"/>
      <w:bookmarkStart w:id="23" w:name="_Toc499571495"/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管理费</w:t>
      </w:r>
      <w:r>
        <w:rPr>
          <w:rFonts w:hint="eastAsia" w:ascii="仿宋" w:hAnsi="仿宋" w:eastAsia="仿宋" w:cs="仿宋"/>
          <w:b/>
          <w:sz w:val="28"/>
          <w:szCs w:val="28"/>
        </w:rPr>
        <w:t>报价要求</w:t>
      </w:r>
      <w:bookmarkEnd w:id="20"/>
      <w:bookmarkEnd w:id="21"/>
      <w:bookmarkEnd w:id="22"/>
      <w:bookmarkEnd w:id="23"/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本项目第一年免收管理费，第二至三年需求方每月按不低于营业收入1%的比例向经营方收取管理费，意向经营方可在此基础上自由报价。</w:t>
      </w:r>
    </w:p>
    <w:p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24" w:name="_Toc29134"/>
      <w:bookmarkStart w:id="25" w:name="_Toc506365129"/>
      <w:bookmarkStart w:id="26" w:name="_Toc498792117"/>
      <w:bookmarkStart w:id="27" w:name="_Toc499571496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三、</w:t>
      </w:r>
      <w:bookmarkEnd w:id="24"/>
      <w:bookmarkStart w:id="28" w:name="_Toc786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付款方式</w:t>
      </w:r>
      <w:bookmarkEnd w:id="25"/>
      <w:bookmarkEnd w:id="26"/>
      <w:bookmarkEnd w:id="27"/>
      <w:bookmarkEnd w:id="28"/>
      <w:bookmarkStart w:id="29" w:name="_GoBack"/>
      <w:bookmarkEnd w:id="29"/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（一）合同签订前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向采购人缴纳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万元的履约保证金（以支票、汇票、本票或者金融机构、担保机构出具的保函等非现金形式提交）；</w:t>
      </w:r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营业收入通过刷卡等方式暂存到需求方账上，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每月服务工作完成经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考核后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给经营方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个工作日内付款，年终决算等特殊情况除外。</w:t>
      </w:r>
    </w:p>
    <w:p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（三）履约保证金在服务期满经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对交付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使用设施、设备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等用品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进行验收后30天内无息退还给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。</w:t>
      </w:r>
    </w:p>
    <w:bookmarkEnd w:id="18"/>
    <w:bookmarkEnd w:id="19"/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四、其他建议与要求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1.合同期第一年内考虑免除管理费，后两年按照一定比例收取管理费。具体收取比例请意向经营方在服务方案中体现。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2.经营方负责食堂软装、小件厨房用品等投入，超市交由经营方自行投资装修经营。</w:t>
      </w:r>
    </w:p>
    <w:p>
      <w:pPr>
        <w:pStyle w:val="29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3.餐饮许可证由经营方负责办理。</w:t>
      </w:r>
    </w:p>
    <w:p>
      <w:pPr>
        <w:pStyle w:val="29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4.每年扶贫采购额度（大概每年食材总额度的10%-20%）由经营方按上级主管部门要求完成。</w:t>
      </w:r>
    </w:p>
    <w:p>
      <w:pPr>
        <w:pStyle w:val="29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5.经营方负责支付水电气费用。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6.经营方同时兼顾黄水院区食堂餐饮服务保障工作（暂为每年6月底-9月初）。</w:t>
      </w:r>
    </w:p>
    <w:p>
      <w:pPr>
        <w:pStyle w:val="2"/>
        <w:ind w:firstLine="56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7.经营方还应做好需求方所有院区的应急餐饮保障服务工作。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第三篇  响应文件格式要求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一、服务方案：格式由经营方自拟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二、项目服务条款偏离表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079"/>
        <w:gridCol w:w="271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1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采购需求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响应情况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服务时限三年，经营方自负盈亏，第一年免除管理费，后两年按比例收取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经营方负责食堂软装，小件厨房用品等投入，超市由经营方自行投资装修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餐饮许可证由经营方负责办理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pStyle w:val="2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每年扶贫采购额度（大概每年食材总额度的10%-20%）由经营方按标准完成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pStyle w:val="2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经营方负责支付水电气费用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经营方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同时兼顾黄水院区食堂餐饮服务保障工作（每年6月底-9月初）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大公馆院区食堂要根据需求方当时的实际需求，交由经营方提供餐饮服务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0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经营方还应做好需求方所有院区的应急餐饮保障服务工作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9FB4FF-121B-4ABA-8D49-B4062257B3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2EA4CA-5524-419D-BE2E-F66BC0A80B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F49C"/>
    <w:multiLevelType w:val="singleLevel"/>
    <w:tmpl w:val="59DAF49C"/>
    <w:lvl w:ilvl="0" w:tentative="0">
      <w:start w:val="1"/>
      <w:numFmt w:val="chineseCounting"/>
      <w:suff w:val="nothing"/>
      <w:lvlText w:val="%1、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wODQ2OGU5MjQ3NzI5ZGQ4NjI1M2VhZWQxMTAyZjgifQ=="/>
  </w:docVars>
  <w:rsids>
    <w:rsidRoot w:val="0015391A"/>
    <w:rsid w:val="00003CC8"/>
    <w:rsid w:val="00065CA3"/>
    <w:rsid w:val="000669AD"/>
    <w:rsid w:val="00147796"/>
    <w:rsid w:val="0015391A"/>
    <w:rsid w:val="00167381"/>
    <w:rsid w:val="00236548"/>
    <w:rsid w:val="00253044"/>
    <w:rsid w:val="0025605F"/>
    <w:rsid w:val="00287BAD"/>
    <w:rsid w:val="00332F30"/>
    <w:rsid w:val="00335D79"/>
    <w:rsid w:val="00370FD8"/>
    <w:rsid w:val="00382C40"/>
    <w:rsid w:val="00402C02"/>
    <w:rsid w:val="00406BAE"/>
    <w:rsid w:val="00431A6F"/>
    <w:rsid w:val="00446FF7"/>
    <w:rsid w:val="004830BA"/>
    <w:rsid w:val="004D6D5D"/>
    <w:rsid w:val="00504217"/>
    <w:rsid w:val="005A556F"/>
    <w:rsid w:val="005F6F8B"/>
    <w:rsid w:val="00640FEC"/>
    <w:rsid w:val="0066201A"/>
    <w:rsid w:val="00675E5D"/>
    <w:rsid w:val="006A3F0D"/>
    <w:rsid w:val="00716F70"/>
    <w:rsid w:val="0073489F"/>
    <w:rsid w:val="00783CCE"/>
    <w:rsid w:val="0079074B"/>
    <w:rsid w:val="007A6F70"/>
    <w:rsid w:val="007F6AD4"/>
    <w:rsid w:val="00837972"/>
    <w:rsid w:val="008505C1"/>
    <w:rsid w:val="00850C6F"/>
    <w:rsid w:val="00856495"/>
    <w:rsid w:val="00876016"/>
    <w:rsid w:val="00880776"/>
    <w:rsid w:val="0091266D"/>
    <w:rsid w:val="00945732"/>
    <w:rsid w:val="009712DE"/>
    <w:rsid w:val="00A144F4"/>
    <w:rsid w:val="00A25060"/>
    <w:rsid w:val="00A37D2C"/>
    <w:rsid w:val="00A539C2"/>
    <w:rsid w:val="00A6209D"/>
    <w:rsid w:val="00A86970"/>
    <w:rsid w:val="00AC2C9A"/>
    <w:rsid w:val="00AC3368"/>
    <w:rsid w:val="00AD60E6"/>
    <w:rsid w:val="00AD6FB2"/>
    <w:rsid w:val="00AF0354"/>
    <w:rsid w:val="00B04086"/>
    <w:rsid w:val="00B10772"/>
    <w:rsid w:val="00B274DB"/>
    <w:rsid w:val="00B37EF9"/>
    <w:rsid w:val="00B8349C"/>
    <w:rsid w:val="00BA195B"/>
    <w:rsid w:val="00BB7FDF"/>
    <w:rsid w:val="00BD055C"/>
    <w:rsid w:val="00C254C3"/>
    <w:rsid w:val="00C35913"/>
    <w:rsid w:val="00C727B3"/>
    <w:rsid w:val="00C862D7"/>
    <w:rsid w:val="00CE3927"/>
    <w:rsid w:val="00D1521C"/>
    <w:rsid w:val="00D5201F"/>
    <w:rsid w:val="00D71C48"/>
    <w:rsid w:val="00DC51B8"/>
    <w:rsid w:val="00DD7F4F"/>
    <w:rsid w:val="00E8315D"/>
    <w:rsid w:val="00EF7AF4"/>
    <w:rsid w:val="00F13190"/>
    <w:rsid w:val="00F67655"/>
    <w:rsid w:val="00F857B8"/>
    <w:rsid w:val="00FB0D4C"/>
    <w:rsid w:val="00FC5604"/>
    <w:rsid w:val="00FE3701"/>
    <w:rsid w:val="00FF724D"/>
    <w:rsid w:val="01120C9E"/>
    <w:rsid w:val="01E94B54"/>
    <w:rsid w:val="02166CDE"/>
    <w:rsid w:val="027619AC"/>
    <w:rsid w:val="03982EB5"/>
    <w:rsid w:val="05A55C8D"/>
    <w:rsid w:val="0710129F"/>
    <w:rsid w:val="0717375D"/>
    <w:rsid w:val="07836BD4"/>
    <w:rsid w:val="08B964D1"/>
    <w:rsid w:val="08CE2541"/>
    <w:rsid w:val="092C07A4"/>
    <w:rsid w:val="0B8C3FEE"/>
    <w:rsid w:val="0D614B15"/>
    <w:rsid w:val="10641247"/>
    <w:rsid w:val="125A3098"/>
    <w:rsid w:val="12727D32"/>
    <w:rsid w:val="128D231A"/>
    <w:rsid w:val="12C40467"/>
    <w:rsid w:val="15AD4461"/>
    <w:rsid w:val="16EF01EB"/>
    <w:rsid w:val="178463F1"/>
    <w:rsid w:val="17BE507F"/>
    <w:rsid w:val="190B1A04"/>
    <w:rsid w:val="19457205"/>
    <w:rsid w:val="19E84DE1"/>
    <w:rsid w:val="1BB07C6E"/>
    <w:rsid w:val="1C3A1F70"/>
    <w:rsid w:val="1C902538"/>
    <w:rsid w:val="1E4379FE"/>
    <w:rsid w:val="1EB260AE"/>
    <w:rsid w:val="1F8D23B7"/>
    <w:rsid w:val="206D0D76"/>
    <w:rsid w:val="20735A50"/>
    <w:rsid w:val="223E4869"/>
    <w:rsid w:val="23762D2A"/>
    <w:rsid w:val="23A05588"/>
    <w:rsid w:val="24B94F4B"/>
    <w:rsid w:val="250C6474"/>
    <w:rsid w:val="25D94CF8"/>
    <w:rsid w:val="265453B2"/>
    <w:rsid w:val="268958E2"/>
    <w:rsid w:val="271D3A52"/>
    <w:rsid w:val="279A585C"/>
    <w:rsid w:val="2AD75EA4"/>
    <w:rsid w:val="2B1E359F"/>
    <w:rsid w:val="2B7D4160"/>
    <w:rsid w:val="2B9B6245"/>
    <w:rsid w:val="2F2D6B2C"/>
    <w:rsid w:val="30DB2CEC"/>
    <w:rsid w:val="30EB518F"/>
    <w:rsid w:val="32082B73"/>
    <w:rsid w:val="32447FF8"/>
    <w:rsid w:val="34124B83"/>
    <w:rsid w:val="352C4DC0"/>
    <w:rsid w:val="38481119"/>
    <w:rsid w:val="39CC60C1"/>
    <w:rsid w:val="39DA3FF3"/>
    <w:rsid w:val="3AC84A15"/>
    <w:rsid w:val="3D5440BC"/>
    <w:rsid w:val="408E08F6"/>
    <w:rsid w:val="417B59F7"/>
    <w:rsid w:val="41D1589D"/>
    <w:rsid w:val="41F00635"/>
    <w:rsid w:val="42AD7563"/>
    <w:rsid w:val="439845D7"/>
    <w:rsid w:val="45E374F1"/>
    <w:rsid w:val="469D59A0"/>
    <w:rsid w:val="48572E81"/>
    <w:rsid w:val="48E04D9F"/>
    <w:rsid w:val="49864049"/>
    <w:rsid w:val="49B752AC"/>
    <w:rsid w:val="49E76D28"/>
    <w:rsid w:val="4A7E0C1B"/>
    <w:rsid w:val="4C2A0E0A"/>
    <w:rsid w:val="4C992791"/>
    <w:rsid w:val="4C9B3AB5"/>
    <w:rsid w:val="50581F29"/>
    <w:rsid w:val="51552541"/>
    <w:rsid w:val="5341350A"/>
    <w:rsid w:val="556F7B12"/>
    <w:rsid w:val="55C30AF4"/>
    <w:rsid w:val="564B02FA"/>
    <w:rsid w:val="580C5343"/>
    <w:rsid w:val="5847689F"/>
    <w:rsid w:val="5976568E"/>
    <w:rsid w:val="59D16114"/>
    <w:rsid w:val="59E71396"/>
    <w:rsid w:val="5BFA31D7"/>
    <w:rsid w:val="5CDF51C2"/>
    <w:rsid w:val="5F0246D2"/>
    <w:rsid w:val="5FFC2168"/>
    <w:rsid w:val="61E53675"/>
    <w:rsid w:val="62560C0D"/>
    <w:rsid w:val="64642DC2"/>
    <w:rsid w:val="648A0E92"/>
    <w:rsid w:val="651532D5"/>
    <w:rsid w:val="65336B29"/>
    <w:rsid w:val="6740552D"/>
    <w:rsid w:val="68B97AB4"/>
    <w:rsid w:val="69BD10B7"/>
    <w:rsid w:val="69BF6BDD"/>
    <w:rsid w:val="6B6A2FF0"/>
    <w:rsid w:val="6B6C53C5"/>
    <w:rsid w:val="6BDA7CFF"/>
    <w:rsid w:val="6D6B2263"/>
    <w:rsid w:val="6D864657"/>
    <w:rsid w:val="6E4E6868"/>
    <w:rsid w:val="6F8B52F0"/>
    <w:rsid w:val="6F91165A"/>
    <w:rsid w:val="700F2E96"/>
    <w:rsid w:val="715C55E8"/>
    <w:rsid w:val="73171838"/>
    <w:rsid w:val="73B42E6F"/>
    <w:rsid w:val="75B7551B"/>
    <w:rsid w:val="75C04CB3"/>
    <w:rsid w:val="75E47B1F"/>
    <w:rsid w:val="769F15DB"/>
    <w:rsid w:val="777576D9"/>
    <w:rsid w:val="780D5782"/>
    <w:rsid w:val="7B3F00BB"/>
    <w:rsid w:val="7C17082A"/>
    <w:rsid w:val="7C6668FD"/>
    <w:rsid w:val="7D3965EE"/>
    <w:rsid w:val="7E040CEE"/>
    <w:rsid w:val="7E12754C"/>
    <w:rsid w:val="7ED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pPr>
      <w:adjustRightIn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6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link w:val="19"/>
    <w:qFormat/>
    <w:uiPriority w:val="0"/>
    <w:pPr>
      <w:snapToGrid w:val="0"/>
      <w:spacing w:line="560" w:lineRule="atLeast"/>
      <w:ind w:firstLine="540"/>
    </w:pPr>
    <w:rPr>
      <w:rFonts w:asciiTheme="minorHAnsi" w:hAnsiTheme="minorHAnsi" w:eastAsiaTheme="minorEastAsia" w:cstheme="minorBidi"/>
      <w:sz w:val="28"/>
      <w:szCs w:val="2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link w:val="28"/>
    <w:semiHidden/>
    <w:unhideWhenUsed/>
    <w:qFormat/>
    <w:uiPriority w:val="99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正文文本缩进 2 Char"/>
    <w:link w:val="7"/>
    <w:qFormat/>
    <w:uiPriority w:val="0"/>
    <w:rPr>
      <w:sz w:val="28"/>
    </w:rPr>
  </w:style>
  <w:style w:type="character" w:customStyle="1" w:styleId="20">
    <w:name w:val="正文文本缩进 2 Char1"/>
    <w:basedOn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5"/>
    <w:qFormat/>
    <w:uiPriority w:val="0"/>
    <w:rPr>
      <w:sz w:val="24"/>
    </w:rPr>
  </w:style>
  <w:style w:type="character" w:customStyle="1" w:styleId="24">
    <w:name w:val="批注文字 Char1"/>
    <w:basedOn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3 Char"/>
    <w:basedOn w:val="13"/>
    <w:link w:val="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26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kern w:val="0"/>
      <w:sz w:val="20"/>
      <w:szCs w:val="20"/>
      <w:u w:color="000000"/>
      <w:lang w:val="en-US" w:eastAsia="zh-CN" w:bidi="ar-SA"/>
    </w:rPr>
  </w:style>
  <w:style w:type="character" w:customStyle="1" w:styleId="27">
    <w:name w:val="正文文本缩进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正文首行缩进 2 Char"/>
    <w:basedOn w:val="27"/>
    <w:link w:val="11"/>
    <w:semiHidden/>
    <w:qFormat/>
    <w:uiPriority w:val="99"/>
  </w:style>
  <w:style w:type="paragraph" w:customStyle="1" w:styleId="29">
    <w:name w:val="p16"/>
    <w:basedOn w:val="1"/>
    <w:qFormat/>
    <w:uiPriority w:val="0"/>
    <w:pPr>
      <w:widowControl/>
    </w:pPr>
    <w:rPr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2985</Words>
  <Characters>3070</Characters>
  <Lines>26</Lines>
  <Paragraphs>7</Paragraphs>
  <TotalTime>113</TotalTime>
  <ScaleCrop>false</ScaleCrop>
  <LinksUpToDate>false</LinksUpToDate>
  <CharactersWithSpaces>3106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2019-09-09T06:50:00Z</dcterms:created>
  <dc:creator>微软用户</dc:creator>
  <cp:lastModifiedBy>Curtain，</cp:lastModifiedBy>
  <cp:lastPrinted>2018-01-08T06:58:00Z</cp:lastPrinted>
  <dcterms:modified xsi:type="dcterms:W3CDTF">2022-12-30T08:55:16Z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2EFFF5C4CBDE4978AA496DE108F250A3</vt:lpwstr>
  </property>
</Properties>
</file>