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360" w:lineRule="auto"/>
        <w:jc w:val="center"/>
        <w:rPr>
          <w:rFonts w:hint="eastAsia" w:ascii="宋体" w:hAnsi="宋体" w:eastAsia="宋体" w:cs="宋体"/>
          <w:b/>
          <w:color w:val="auto"/>
          <w:sz w:val="50"/>
          <w:szCs w:val="50"/>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color w:val="auto"/>
          <w:sz w:val="44"/>
          <w:szCs w:val="44"/>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cs="宋体"/>
          <w:b w:val="0"/>
          <w:bCs/>
          <w:color w:val="auto"/>
          <w:sz w:val="44"/>
          <w:szCs w:val="44"/>
          <w:highlight w:val="none"/>
          <w:lang w:eastAsia="zh-CN"/>
        </w:rPr>
      </w:pPr>
      <w:r>
        <w:rPr>
          <w:rFonts w:hint="eastAsia" w:ascii="宋体" w:hAnsi="宋体" w:cs="宋体"/>
          <w:b w:val="0"/>
          <w:bCs/>
          <w:color w:val="auto"/>
          <w:sz w:val="44"/>
          <w:szCs w:val="44"/>
          <w:highlight w:val="none"/>
          <w:lang w:eastAsia="zh-CN"/>
        </w:rPr>
        <w:t>重庆医科大学</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36"/>
          <w:szCs w:val="36"/>
          <w:highlight w:val="none"/>
        </w:rPr>
      </w:pPr>
      <w:r>
        <w:rPr>
          <w:rFonts w:hint="eastAsia" w:ascii="宋体" w:hAnsi="宋体" w:cs="宋体"/>
          <w:b w:val="0"/>
          <w:bCs/>
          <w:color w:val="auto"/>
          <w:sz w:val="44"/>
          <w:szCs w:val="44"/>
          <w:highlight w:val="none"/>
          <w:lang w:eastAsia="zh-CN"/>
        </w:rPr>
        <w:t>自主</w:t>
      </w:r>
      <w:r>
        <w:rPr>
          <w:rFonts w:hint="eastAsia" w:ascii="宋体" w:hAnsi="宋体" w:eastAsia="宋体" w:cs="宋体"/>
          <w:b w:val="0"/>
          <w:bCs/>
          <w:color w:val="auto"/>
          <w:sz w:val="44"/>
          <w:szCs w:val="44"/>
          <w:highlight w:val="none"/>
        </w:rPr>
        <w:t>采购文件</w:t>
      </w:r>
    </w:p>
    <w:p>
      <w:pPr>
        <w:adjustRightInd w:val="0"/>
        <w:snapToGrid w:val="0"/>
        <w:spacing w:line="360" w:lineRule="auto"/>
        <w:jc w:val="left"/>
        <w:rPr>
          <w:rFonts w:hint="eastAsia" w:ascii="宋体" w:hAnsi="宋体" w:eastAsia="宋体" w:cs="宋体"/>
          <w:b w:val="0"/>
          <w:bCs w:val="0"/>
          <w:color w:val="auto"/>
          <w:sz w:val="36"/>
          <w:szCs w:val="36"/>
          <w:highlight w:val="none"/>
        </w:rPr>
      </w:pPr>
    </w:p>
    <w:p>
      <w:pPr>
        <w:adjustRightInd w:val="0"/>
        <w:snapToGrid w:val="0"/>
        <w:spacing w:line="360" w:lineRule="auto"/>
        <w:ind w:firstLine="1280" w:firstLineChars="400"/>
        <w:rPr>
          <w:rFonts w:hint="eastAsia" w:ascii="宋体" w:hAnsi="宋体" w:eastAsia="宋体" w:cs="宋体"/>
          <w:b w:val="0"/>
          <w:bCs w:val="0"/>
          <w:color w:val="auto"/>
          <w:sz w:val="32"/>
          <w:szCs w:val="32"/>
          <w:highlight w:val="none"/>
        </w:rPr>
      </w:pPr>
    </w:p>
    <w:p>
      <w:pPr>
        <w:adjustRightInd w:val="0"/>
        <w:snapToGrid w:val="0"/>
        <w:spacing w:line="360" w:lineRule="auto"/>
        <w:ind w:firstLine="1280" w:firstLineChars="400"/>
        <w:rPr>
          <w:rFonts w:hint="eastAsia" w:ascii="宋体" w:hAnsi="宋体" w:eastAsia="宋体" w:cs="宋体"/>
          <w:color w:val="auto"/>
          <w:highlight w:val="none"/>
        </w:rPr>
      </w:pPr>
      <w:r>
        <w:rPr>
          <w:rFonts w:hint="eastAsia" w:ascii="宋体" w:hAnsi="宋体" w:eastAsia="宋体" w:cs="宋体"/>
          <w:b w:val="0"/>
          <w:bCs w:val="0"/>
          <w:color w:val="auto"/>
          <w:sz w:val="32"/>
          <w:szCs w:val="32"/>
          <w:highlight w:val="none"/>
        </w:rPr>
        <w:t>项目名称：</w:t>
      </w:r>
      <w:r>
        <w:rPr>
          <w:rFonts w:hint="eastAsia" w:ascii="宋体" w:hAnsi="宋体" w:eastAsia="宋体" w:cs="宋体"/>
          <w:b w:val="0"/>
          <w:bCs w:val="0"/>
          <w:color w:val="auto"/>
          <w:sz w:val="32"/>
          <w:szCs w:val="32"/>
          <w:highlight w:val="none"/>
          <w:lang w:val="en-US" w:eastAsia="zh-CN"/>
        </w:rPr>
        <w:t>康复医学院混合式课程建设服务</w:t>
      </w:r>
      <w:r>
        <w:rPr>
          <w:rFonts w:hint="eastAsia" w:ascii="宋体" w:hAnsi="宋体" w:cs="宋体"/>
          <w:b w:val="0"/>
          <w:bCs w:val="0"/>
          <w:color w:val="auto"/>
          <w:sz w:val="32"/>
          <w:szCs w:val="32"/>
          <w:highlight w:val="none"/>
          <w:lang w:val="en-US" w:eastAsia="zh-CN"/>
        </w:rPr>
        <w:t>项目</w:t>
      </w:r>
    </w:p>
    <w:p>
      <w:pPr>
        <w:adjustRightInd w:val="0"/>
        <w:snapToGrid w:val="0"/>
        <w:spacing w:line="360" w:lineRule="auto"/>
        <w:ind w:firstLine="1280" w:firstLineChars="400"/>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项目编号：XM2023102062</w:t>
      </w:r>
    </w:p>
    <w:p>
      <w:pPr>
        <w:tabs>
          <w:tab w:val="left" w:pos="1050"/>
          <w:tab w:val="left" w:pos="1470"/>
        </w:tabs>
        <w:adjustRightInd w:val="0"/>
        <w:snapToGrid w:val="0"/>
        <w:spacing w:line="360" w:lineRule="auto"/>
        <w:ind w:firstLine="1280" w:firstLineChars="400"/>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采 购 人：重庆医科大学</w:t>
      </w:r>
    </w:p>
    <w:p>
      <w:pPr>
        <w:tabs>
          <w:tab w:val="left" w:pos="1050"/>
          <w:tab w:val="left" w:pos="1470"/>
        </w:tabs>
        <w:adjustRightInd w:val="0"/>
        <w:snapToGrid w:val="0"/>
        <w:spacing w:line="360" w:lineRule="auto"/>
        <w:ind w:firstLine="1280" w:firstLineChars="400"/>
        <w:rPr>
          <w:rFonts w:hint="eastAsia" w:ascii="宋体" w:hAnsi="宋体" w:eastAsia="宋体" w:cs="宋体"/>
          <w:b w:val="0"/>
          <w:bCs w:val="0"/>
          <w:color w:val="auto"/>
          <w:sz w:val="32"/>
          <w:szCs w:val="32"/>
          <w:highlight w:val="none"/>
          <w:lang w:eastAsia="zh-CN"/>
        </w:rPr>
      </w:pPr>
      <w:r>
        <w:rPr>
          <w:rFonts w:hint="eastAsia" w:ascii="宋体" w:hAnsi="宋体" w:cs="宋体"/>
          <w:b w:val="0"/>
          <w:bCs w:val="0"/>
          <w:color w:val="auto"/>
          <w:sz w:val="32"/>
          <w:szCs w:val="32"/>
          <w:highlight w:val="none"/>
          <w:lang w:eastAsia="zh-CN"/>
        </w:rPr>
        <w:t>采购组织人：重庆医科大学附属康复医院</w:t>
      </w:r>
    </w:p>
    <w:p>
      <w:pPr>
        <w:pStyle w:val="11"/>
        <w:adjustRightInd w:val="0"/>
        <w:snapToGrid w:val="0"/>
        <w:spacing w:line="360" w:lineRule="auto"/>
        <w:jc w:val="center"/>
        <w:rPr>
          <w:rFonts w:hint="eastAsia" w:ascii="宋体" w:hAnsi="宋体" w:eastAsia="宋体" w:cs="宋体"/>
          <w:b/>
          <w:bCs/>
          <w:color w:val="auto"/>
          <w:sz w:val="44"/>
          <w:szCs w:val="44"/>
          <w:highlight w:val="none"/>
        </w:rPr>
      </w:pPr>
    </w:p>
    <w:p>
      <w:pPr>
        <w:pStyle w:val="11"/>
        <w:adjustRightInd w:val="0"/>
        <w:snapToGrid w:val="0"/>
        <w:spacing w:line="360" w:lineRule="auto"/>
        <w:jc w:val="center"/>
        <w:rPr>
          <w:rFonts w:hint="eastAsia" w:ascii="宋体" w:hAnsi="宋体" w:eastAsia="宋体" w:cs="宋体"/>
          <w:b/>
          <w:bCs/>
          <w:color w:val="auto"/>
          <w:sz w:val="44"/>
          <w:szCs w:val="44"/>
          <w:highlight w:val="none"/>
        </w:rPr>
      </w:pPr>
    </w:p>
    <w:p>
      <w:pPr>
        <w:pStyle w:val="11"/>
        <w:adjustRightInd w:val="0"/>
        <w:snapToGrid w:val="0"/>
        <w:spacing w:line="360" w:lineRule="auto"/>
        <w:jc w:val="center"/>
        <w:rPr>
          <w:rFonts w:hint="eastAsia" w:ascii="宋体" w:hAnsi="宋体" w:eastAsia="宋体" w:cs="宋体"/>
          <w:b/>
          <w:bCs/>
          <w:color w:val="auto"/>
          <w:sz w:val="44"/>
          <w:szCs w:val="44"/>
          <w:highlight w:val="none"/>
        </w:rPr>
      </w:pPr>
    </w:p>
    <w:p>
      <w:pPr>
        <w:pStyle w:val="11"/>
        <w:adjustRightInd w:val="0"/>
        <w:snapToGrid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202</w:t>
      </w:r>
      <w:r>
        <w:rPr>
          <w:rFonts w:hint="eastAsia" w:ascii="宋体" w:hAnsi="宋体" w:cs="宋体"/>
          <w:b/>
          <w:bCs/>
          <w:color w:val="auto"/>
          <w:sz w:val="32"/>
          <w:szCs w:val="32"/>
          <w:highlight w:val="none"/>
          <w:lang w:val="en-US" w:eastAsia="zh-CN"/>
        </w:rPr>
        <w:t>3</w:t>
      </w:r>
      <w:r>
        <w:rPr>
          <w:rFonts w:hint="eastAsia" w:ascii="宋体" w:hAnsi="宋体" w:eastAsia="宋体" w:cs="宋体"/>
          <w:b/>
          <w:bCs/>
          <w:color w:val="auto"/>
          <w:sz w:val="32"/>
          <w:szCs w:val="32"/>
          <w:highlight w:val="none"/>
        </w:rPr>
        <w:t>年</w:t>
      </w:r>
      <w:r>
        <w:rPr>
          <w:rFonts w:hint="eastAsia" w:ascii="宋体" w:hAnsi="宋体" w:cs="宋体"/>
          <w:b/>
          <w:bCs/>
          <w:color w:val="auto"/>
          <w:sz w:val="32"/>
          <w:szCs w:val="32"/>
          <w:highlight w:val="none"/>
          <w:lang w:val="en-US" w:eastAsia="zh-CN"/>
        </w:rPr>
        <w:t>10</w:t>
      </w:r>
      <w:r>
        <w:rPr>
          <w:rFonts w:hint="eastAsia" w:ascii="宋体" w:hAnsi="宋体" w:eastAsia="宋体" w:cs="宋体"/>
          <w:b/>
          <w:bCs/>
          <w:color w:val="auto"/>
          <w:sz w:val="32"/>
          <w:szCs w:val="32"/>
          <w:highlight w:val="none"/>
        </w:rPr>
        <w:t>月</w:t>
      </w:r>
    </w:p>
    <w:p>
      <w:pPr>
        <w:spacing w:line="600" w:lineRule="exact"/>
        <w:jc w:val="center"/>
        <w:outlineLvl w:val="0"/>
        <w:rPr>
          <w:rFonts w:hint="eastAsia" w:ascii="宋体" w:hAnsi="宋体" w:eastAsia="宋体" w:cs="宋体"/>
          <w:color w:val="auto"/>
          <w:szCs w:val="21"/>
          <w:highlight w:val="none"/>
        </w:rPr>
      </w:pPr>
    </w:p>
    <w:p>
      <w:pPr>
        <w:pStyle w:val="4"/>
        <w:rPr>
          <w:rFonts w:hint="eastAsia" w:ascii="宋体" w:hAnsi="宋体" w:eastAsia="宋体" w:cs="宋体"/>
          <w:color w:val="auto"/>
          <w:szCs w:val="21"/>
          <w:highlight w:val="none"/>
        </w:rPr>
      </w:pPr>
    </w:p>
    <w:p>
      <w:pPr>
        <w:rPr>
          <w:rFonts w:hint="eastAsia"/>
          <w:color w:val="auto"/>
          <w:highlight w:val="none"/>
        </w:rPr>
      </w:pPr>
    </w:p>
    <w:p>
      <w:pPr>
        <w:adjustRightInd w:val="0"/>
        <w:snapToGrid w:val="0"/>
        <w:spacing w:line="360" w:lineRule="auto"/>
        <w:rPr>
          <w:rFonts w:hint="eastAsia" w:ascii="宋体" w:hAnsi="宋体" w:eastAsia="宋体" w:cs="宋体"/>
          <w:b/>
          <w:color w:val="auto"/>
          <w:szCs w:val="21"/>
          <w:highlight w:val="none"/>
        </w:rPr>
      </w:pPr>
    </w:p>
    <w:p>
      <w:pPr>
        <w:adjustRightInd w:val="0"/>
        <w:snapToGrid w:val="0"/>
        <w:spacing w:line="360" w:lineRule="auto"/>
        <w:rPr>
          <w:rFonts w:hint="eastAsia" w:ascii="宋体" w:hAnsi="宋体" w:eastAsia="宋体" w:cs="宋体"/>
          <w:b/>
          <w:color w:val="auto"/>
          <w:szCs w:val="21"/>
          <w:highlight w:val="none"/>
        </w:rPr>
      </w:pPr>
    </w:p>
    <w:p>
      <w:pPr>
        <w:pStyle w:val="4"/>
        <w:rPr>
          <w:rFonts w:hint="eastAsia" w:ascii="宋体" w:hAnsi="宋体" w:eastAsia="宋体" w:cs="宋体"/>
          <w:b/>
          <w:color w:val="auto"/>
          <w:szCs w:val="21"/>
          <w:highlight w:val="none"/>
        </w:rPr>
      </w:pPr>
    </w:p>
    <w:p>
      <w:pPr>
        <w:rPr>
          <w:rFonts w:hint="eastAsia" w:ascii="宋体" w:hAnsi="宋体" w:eastAsia="宋体" w:cs="宋体"/>
          <w:b/>
          <w:color w:val="auto"/>
          <w:szCs w:val="21"/>
          <w:highlight w:val="none"/>
        </w:rPr>
      </w:pPr>
    </w:p>
    <w:p>
      <w:pPr>
        <w:pStyle w:val="4"/>
        <w:spacing w:line="500" w:lineRule="exact"/>
        <w:jc w:val="center"/>
        <w:rPr>
          <w:rFonts w:hint="eastAsia" w:ascii="宋体" w:hAnsi="宋体" w:eastAsia="宋体" w:cs="宋体"/>
          <w:color w:val="auto"/>
          <w:sz w:val="24"/>
          <w:szCs w:val="24"/>
          <w:highlight w:val="none"/>
        </w:rPr>
      </w:pPr>
      <w:bookmarkStart w:id="0" w:name="_Toc465084019"/>
      <w:r>
        <w:rPr>
          <w:rFonts w:hint="eastAsia" w:ascii="宋体" w:hAnsi="宋体" w:eastAsia="宋体" w:cs="宋体"/>
          <w:color w:val="auto"/>
          <w:sz w:val="24"/>
          <w:szCs w:val="24"/>
          <w:highlight w:val="none"/>
        </w:rPr>
        <w:t>重庆医科大学采购文书</w:t>
      </w:r>
    </w:p>
    <w:p>
      <w:pPr>
        <w:pStyle w:val="4"/>
        <w:spacing w:line="500" w:lineRule="exact"/>
        <w:ind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重庆医科大学现对</w:t>
      </w:r>
      <w:r>
        <w:rPr>
          <w:rFonts w:hint="eastAsia" w:ascii="宋体" w:hAnsi="宋体" w:eastAsia="宋体" w:cs="宋体"/>
          <w:b w:val="0"/>
          <w:bCs/>
          <w:color w:val="auto"/>
          <w:sz w:val="24"/>
          <w:szCs w:val="24"/>
          <w:highlight w:val="none"/>
          <w:u w:val="single"/>
          <w:lang w:val="en-US" w:eastAsia="zh-CN"/>
        </w:rPr>
        <w:t>康复医学院混合式课程建设服务项目</w:t>
      </w:r>
      <w:r>
        <w:rPr>
          <w:rFonts w:hint="eastAsia" w:ascii="宋体" w:hAnsi="宋体" w:eastAsia="宋体" w:cs="宋体"/>
          <w:b w:val="0"/>
          <w:bCs/>
          <w:color w:val="auto"/>
          <w:sz w:val="24"/>
          <w:szCs w:val="24"/>
          <w:highlight w:val="none"/>
        </w:rPr>
        <w:t>进行校内分散采购，欢迎有资格的供应商前来参加</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谈判。</w:t>
      </w:r>
    </w:p>
    <w:p>
      <w:pPr>
        <w:pStyle w:val="4"/>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一、招标项目内容</w:t>
      </w:r>
      <w:bookmarkEnd w:id="0"/>
    </w:p>
    <w:tbl>
      <w:tblPr>
        <w:tblStyle w:val="19"/>
        <w:tblW w:w="9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2"/>
        <w:gridCol w:w="2122"/>
        <w:gridCol w:w="1750"/>
        <w:gridCol w:w="1128"/>
        <w:gridCol w:w="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3712" w:type="dxa"/>
            <w:vAlign w:val="center"/>
          </w:tcPr>
          <w:p>
            <w:pPr>
              <w:pStyle w:val="9"/>
              <w:spacing w:after="0" w:line="240" w:lineRule="atLeast"/>
              <w:ind w:left="0" w:leftChars="0"/>
              <w:jc w:val="center"/>
              <w:outlineLvl w:val="0"/>
              <w:rPr>
                <w:rFonts w:hint="eastAsia" w:ascii="宋体" w:hAnsi="宋体" w:eastAsia="宋体" w:cs="宋体"/>
                <w:b/>
                <w:color w:val="auto"/>
                <w:szCs w:val="21"/>
                <w:highlight w:val="none"/>
              </w:rPr>
            </w:pPr>
            <w:bookmarkStart w:id="1" w:name="_Toc89868471"/>
            <w:bookmarkStart w:id="2" w:name="_Toc8088"/>
            <w:r>
              <w:rPr>
                <w:rFonts w:hint="eastAsia" w:ascii="宋体" w:hAnsi="宋体" w:eastAsia="宋体" w:cs="宋体"/>
                <w:b/>
                <w:color w:val="auto"/>
                <w:szCs w:val="21"/>
                <w:highlight w:val="none"/>
              </w:rPr>
              <w:t>项目名称</w:t>
            </w:r>
            <w:bookmarkEnd w:id="1"/>
            <w:bookmarkEnd w:id="2"/>
          </w:p>
        </w:tc>
        <w:tc>
          <w:tcPr>
            <w:tcW w:w="2122" w:type="dxa"/>
            <w:vAlign w:val="center"/>
          </w:tcPr>
          <w:p>
            <w:pPr>
              <w:pStyle w:val="9"/>
              <w:spacing w:after="0" w:line="240" w:lineRule="atLeast"/>
              <w:ind w:left="0" w:leftChars="0"/>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项目内容</w:t>
            </w:r>
          </w:p>
        </w:tc>
        <w:tc>
          <w:tcPr>
            <w:tcW w:w="1750" w:type="dxa"/>
            <w:vAlign w:val="center"/>
          </w:tcPr>
          <w:p>
            <w:pPr>
              <w:pStyle w:val="9"/>
              <w:spacing w:after="0" w:line="240" w:lineRule="atLeast"/>
              <w:ind w:left="0" w:leftChars="0"/>
              <w:jc w:val="center"/>
              <w:outlineLvl w:val="0"/>
              <w:rPr>
                <w:rFonts w:hint="eastAsia" w:ascii="宋体" w:hAnsi="宋体" w:eastAsia="宋体" w:cs="宋体"/>
                <w:b/>
                <w:color w:val="auto"/>
                <w:szCs w:val="21"/>
                <w:highlight w:val="none"/>
              </w:rPr>
            </w:pPr>
            <w:bookmarkStart w:id="3" w:name="_Toc89868475"/>
            <w:bookmarkStart w:id="4" w:name="_Toc7414"/>
            <w:r>
              <w:rPr>
                <w:rFonts w:hint="eastAsia" w:ascii="宋体" w:hAnsi="宋体" w:eastAsia="宋体" w:cs="宋体"/>
                <w:b/>
                <w:color w:val="auto"/>
                <w:szCs w:val="21"/>
                <w:highlight w:val="none"/>
              </w:rPr>
              <w:t>中标人数量（名）</w:t>
            </w:r>
            <w:bookmarkEnd w:id="3"/>
            <w:bookmarkEnd w:id="4"/>
          </w:p>
        </w:tc>
        <w:tc>
          <w:tcPr>
            <w:tcW w:w="1128" w:type="dxa"/>
            <w:vAlign w:val="center"/>
          </w:tcPr>
          <w:p>
            <w:pPr>
              <w:pStyle w:val="9"/>
              <w:spacing w:after="0" w:line="240" w:lineRule="atLeast"/>
              <w:ind w:left="0" w:leftChars="0"/>
              <w:jc w:val="center"/>
              <w:outlineLvl w:val="0"/>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t>预算金额（万元）</w:t>
            </w:r>
          </w:p>
        </w:tc>
        <w:tc>
          <w:tcPr>
            <w:tcW w:w="1128" w:type="dxa"/>
            <w:vAlign w:val="center"/>
          </w:tcPr>
          <w:p>
            <w:pPr>
              <w:pStyle w:val="9"/>
              <w:spacing w:after="0" w:line="240" w:lineRule="atLeast"/>
              <w:ind w:left="0" w:leftChars="0"/>
              <w:jc w:val="center"/>
              <w:outlineLvl w:val="0"/>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lang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3712" w:type="dxa"/>
            <w:vAlign w:val="center"/>
          </w:tcPr>
          <w:p>
            <w:pPr>
              <w:pStyle w:val="9"/>
              <w:spacing w:after="0" w:line="240" w:lineRule="atLeast"/>
              <w:ind w:left="0" w:leftChars="0"/>
              <w:jc w:val="center"/>
              <w:outlineLvl w:val="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康复医学院混合式课程建设服务项目</w:t>
            </w:r>
          </w:p>
        </w:tc>
        <w:tc>
          <w:tcPr>
            <w:tcW w:w="2122" w:type="dxa"/>
            <w:vAlign w:val="center"/>
          </w:tcPr>
          <w:p>
            <w:pPr>
              <w:pStyle w:val="9"/>
              <w:spacing w:after="0" w:line="240" w:lineRule="atLeast"/>
              <w:ind w:left="0" w:leftChars="0"/>
              <w:jc w:val="center"/>
              <w:outlineLvl w:val="0"/>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混合式课程建设服务，详见“第二篇、第三篇”</w:t>
            </w:r>
          </w:p>
        </w:tc>
        <w:tc>
          <w:tcPr>
            <w:tcW w:w="1750" w:type="dxa"/>
            <w:vAlign w:val="center"/>
          </w:tcPr>
          <w:p>
            <w:pPr>
              <w:pStyle w:val="9"/>
              <w:spacing w:after="0" w:line="240" w:lineRule="atLeast"/>
              <w:ind w:left="0" w:leftChars="0"/>
              <w:jc w:val="center"/>
              <w:outlineLvl w:val="0"/>
              <w:rPr>
                <w:rFonts w:hint="eastAsia" w:ascii="宋体" w:hAnsi="宋体" w:eastAsia="宋体" w:cs="宋体"/>
                <w:bCs/>
                <w:color w:val="auto"/>
                <w:szCs w:val="21"/>
                <w:highlight w:val="none"/>
              </w:rPr>
            </w:pPr>
            <w:bookmarkStart w:id="5" w:name="_Toc89868480"/>
            <w:r>
              <w:rPr>
                <w:rFonts w:hint="eastAsia" w:ascii="宋体" w:hAnsi="宋体" w:eastAsia="宋体" w:cs="宋体"/>
                <w:bCs/>
                <w:color w:val="auto"/>
                <w:szCs w:val="21"/>
                <w:highlight w:val="none"/>
              </w:rPr>
              <w:t>1</w:t>
            </w:r>
            <w:bookmarkEnd w:id="5"/>
          </w:p>
        </w:tc>
        <w:tc>
          <w:tcPr>
            <w:tcW w:w="1128" w:type="dxa"/>
            <w:vAlign w:val="center"/>
          </w:tcPr>
          <w:p>
            <w:pPr>
              <w:pStyle w:val="9"/>
              <w:spacing w:after="0" w:line="240" w:lineRule="atLeast"/>
              <w:ind w:left="0" w:leftChars="0"/>
              <w:jc w:val="center"/>
              <w:outlineLvl w:val="0"/>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11.60</w:t>
            </w:r>
          </w:p>
        </w:tc>
        <w:tc>
          <w:tcPr>
            <w:tcW w:w="1128" w:type="dxa"/>
            <w:vAlign w:val="center"/>
          </w:tcPr>
          <w:p>
            <w:pPr>
              <w:pStyle w:val="9"/>
              <w:spacing w:after="0" w:line="240" w:lineRule="atLeast"/>
              <w:ind w:left="0" w:leftChars="0"/>
              <w:jc w:val="center"/>
              <w:outlineLvl w:val="0"/>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lang w:eastAsia="zh-CN"/>
              </w:rPr>
              <w:t>年</w:t>
            </w:r>
          </w:p>
        </w:tc>
      </w:tr>
    </w:tbl>
    <w:p>
      <w:pPr>
        <w:pStyle w:val="4"/>
        <w:spacing w:line="500" w:lineRule="exact"/>
        <w:jc w:val="both"/>
        <w:rPr>
          <w:rFonts w:hint="default" w:ascii="宋体" w:hAnsi="宋体" w:eastAsia="宋体" w:cs="宋体"/>
          <w:b w:val="0"/>
          <w:bCs w:val="0"/>
          <w:color w:val="auto"/>
          <w:sz w:val="24"/>
          <w:szCs w:val="24"/>
          <w:highlight w:val="none"/>
          <w:lang w:val="en-US" w:eastAsia="zh-CN"/>
        </w:rPr>
      </w:pPr>
      <w:bookmarkStart w:id="6" w:name="_Toc465084020"/>
      <w:r>
        <w:rPr>
          <w:rFonts w:hint="eastAsia" w:ascii="宋体" w:hAnsi="宋体" w:eastAsia="宋体" w:cs="宋体"/>
          <w:color w:val="auto"/>
          <w:sz w:val="24"/>
          <w:szCs w:val="24"/>
          <w:highlight w:val="none"/>
          <w:lang w:eastAsia="zh-CN"/>
        </w:rPr>
        <w:t>备注：</w:t>
      </w:r>
      <w:r>
        <w:rPr>
          <w:rFonts w:hint="eastAsia" w:ascii="宋体" w:hAnsi="宋体" w:eastAsia="宋体" w:cs="宋体"/>
          <w:b w:val="0"/>
          <w:bCs w:val="0"/>
          <w:szCs w:val="21"/>
          <w:highlight w:val="none"/>
          <w:lang w:eastAsia="zh-CN"/>
        </w:rPr>
        <w:t>课程建设数量：</w:t>
      </w:r>
      <w:r>
        <w:rPr>
          <w:rFonts w:hint="eastAsia" w:ascii="宋体" w:hAnsi="宋体" w:eastAsia="宋体" w:cs="宋体"/>
          <w:b w:val="0"/>
          <w:bCs w:val="0"/>
          <w:szCs w:val="21"/>
          <w:highlight w:val="none"/>
          <w:lang w:val="en-US" w:eastAsia="zh-CN"/>
        </w:rPr>
        <w:t>2门，5.8万/门。</w:t>
      </w:r>
      <w:bookmarkStart w:id="69" w:name="_GoBack"/>
      <w:bookmarkEnd w:id="69"/>
    </w:p>
    <w:p>
      <w:pPr>
        <w:pStyle w:val="4"/>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二、资金来源</w:t>
      </w:r>
      <w:bookmarkEnd w:id="6"/>
    </w:p>
    <w:p>
      <w:pPr>
        <w:ind w:firstLine="480" w:firstLineChars="200"/>
        <w:rPr>
          <w:rFonts w:hint="eastAsia" w:ascii="宋体" w:hAnsi="宋体" w:eastAsia="宋体" w:cs="宋体"/>
          <w:color w:val="auto"/>
          <w:sz w:val="24"/>
          <w:szCs w:val="32"/>
          <w:highlight w:val="none"/>
        </w:rPr>
      </w:pPr>
      <w:r>
        <w:rPr>
          <w:rFonts w:hint="eastAsia" w:ascii="宋体" w:hAnsi="宋体" w:cs="宋体"/>
          <w:color w:val="auto"/>
          <w:sz w:val="24"/>
          <w:szCs w:val="32"/>
          <w:highlight w:val="none"/>
          <w:lang w:eastAsia="zh-CN"/>
        </w:rPr>
        <w:t>预算项目：精品课程建设项目</w:t>
      </w:r>
      <w:r>
        <w:rPr>
          <w:rFonts w:hint="eastAsia" w:ascii="宋体" w:hAnsi="宋体" w:eastAsia="宋体" w:cs="宋体"/>
          <w:color w:val="auto"/>
          <w:sz w:val="24"/>
          <w:szCs w:val="32"/>
          <w:highlight w:val="none"/>
        </w:rPr>
        <w:t>。</w:t>
      </w:r>
    </w:p>
    <w:p>
      <w:pPr>
        <w:pStyle w:val="4"/>
        <w:spacing w:line="500" w:lineRule="exac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三、采购方式</w:t>
      </w:r>
    </w:p>
    <w:p>
      <w:pPr>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校内分散采购 竞争性</w:t>
      </w:r>
      <w:r>
        <w:rPr>
          <w:rFonts w:hint="eastAsia" w:ascii="宋体" w:hAnsi="宋体" w:cs="宋体"/>
          <w:color w:val="auto"/>
          <w:sz w:val="24"/>
          <w:szCs w:val="32"/>
          <w:highlight w:val="none"/>
          <w:lang w:eastAsia="zh-CN"/>
        </w:rPr>
        <w:t>磋商</w:t>
      </w:r>
      <w:r>
        <w:rPr>
          <w:rFonts w:hint="eastAsia" w:ascii="宋体" w:hAnsi="宋体" w:eastAsia="宋体" w:cs="宋体"/>
          <w:color w:val="auto"/>
          <w:sz w:val="24"/>
          <w:szCs w:val="32"/>
          <w:highlight w:val="none"/>
        </w:rPr>
        <w:t>。</w:t>
      </w:r>
    </w:p>
    <w:p>
      <w:pPr>
        <w:pStyle w:val="4"/>
        <w:spacing w:line="500" w:lineRule="exact"/>
        <w:jc w:val="both"/>
        <w:rPr>
          <w:rFonts w:hint="eastAsia" w:ascii="宋体" w:hAnsi="宋体" w:eastAsia="宋体" w:cs="宋体"/>
          <w:color w:val="auto"/>
          <w:sz w:val="24"/>
          <w:szCs w:val="24"/>
          <w:highlight w:val="none"/>
          <w:lang w:val="en-US" w:eastAsia="zh-CN"/>
        </w:rPr>
      </w:pPr>
      <w:bookmarkStart w:id="7" w:name="_Toc465084021"/>
      <w:r>
        <w:rPr>
          <w:rFonts w:hint="eastAsia" w:ascii="宋体" w:hAnsi="宋体" w:eastAsia="宋体" w:cs="宋体"/>
          <w:color w:val="auto"/>
          <w:sz w:val="24"/>
          <w:szCs w:val="24"/>
          <w:highlight w:val="none"/>
          <w:lang w:val="en-US" w:eastAsia="zh-CN"/>
        </w:rPr>
        <w:t>四、投标人资格要</w:t>
      </w:r>
      <w:bookmarkEnd w:id="7"/>
      <w:r>
        <w:rPr>
          <w:rFonts w:hint="eastAsia" w:ascii="宋体" w:hAnsi="宋体" w:eastAsia="宋体" w:cs="宋体"/>
          <w:color w:val="auto"/>
          <w:sz w:val="24"/>
          <w:szCs w:val="24"/>
          <w:highlight w:val="none"/>
          <w:lang w:val="en-US" w:eastAsia="zh-CN"/>
        </w:rPr>
        <w:t>求</w:t>
      </w:r>
    </w:p>
    <w:p>
      <w:pPr>
        <w:spacing w:line="360" w:lineRule="auto"/>
        <w:rPr>
          <w:rFonts w:hint="eastAsia" w:ascii="宋体" w:hAnsi="宋体" w:eastAsia="宋体" w:cs="宋体"/>
          <w:b w:val="0"/>
          <w:color w:val="auto"/>
          <w:kern w:val="2"/>
          <w:sz w:val="24"/>
          <w:szCs w:val="24"/>
          <w:highlight w:val="none"/>
          <w:u w:val="none"/>
          <w:lang w:val="en-US" w:eastAsia="zh-CN" w:bidi="ar-SA"/>
        </w:rPr>
      </w:pPr>
      <w:r>
        <w:rPr>
          <w:rFonts w:hint="eastAsia" w:ascii="宋体" w:hAnsi="宋体" w:eastAsia="宋体" w:cs="宋体"/>
          <w:b w:val="0"/>
          <w:color w:val="auto"/>
          <w:kern w:val="2"/>
          <w:sz w:val="24"/>
          <w:szCs w:val="24"/>
          <w:highlight w:val="none"/>
          <w:u w:val="none"/>
          <w:lang w:val="en-US" w:eastAsia="zh-CN" w:bidi="ar-SA"/>
        </w:rPr>
        <w:t>（一）一般资格条件</w:t>
      </w:r>
    </w:p>
    <w:p>
      <w:pPr>
        <w:spacing w:line="360" w:lineRule="auto"/>
        <w:rPr>
          <w:rFonts w:hint="eastAsia" w:ascii="宋体" w:hAnsi="宋体" w:eastAsia="宋体" w:cs="宋体"/>
          <w:b w:val="0"/>
          <w:color w:val="auto"/>
          <w:kern w:val="2"/>
          <w:sz w:val="24"/>
          <w:szCs w:val="24"/>
          <w:highlight w:val="none"/>
          <w:u w:val="none"/>
          <w:lang w:val="en-US" w:eastAsia="zh-CN" w:bidi="ar-SA"/>
        </w:rPr>
      </w:pPr>
      <w:r>
        <w:rPr>
          <w:rFonts w:hint="eastAsia" w:ascii="宋体" w:hAnsi="宋体" w:eastAsia="宋体" w:cs="宋体"/>
          <w:b w:val="0"/>
          <w:color w:val="auto"/>
          <w:kern w:val="2"/>
          <w:sz w:val="24"/>
          <w:szCs w:val="24"/>
          <w:highlight w:val="none"/>
          <w:u w:val="none"/>
          <w:lang w:val="en-US" w:eastAsia="zh-CN" w:bidi="ar-SA"/>
        </w:rPr>
        <w:t>①具有独立承担民事责任的能力；</w:t>
      </w:r>
    </w:p>
    <w:p>
      <w:pPr>
        <w:spacing w:line="360" w:lineRule="auto"/>
        <w:rPr>
          <w:rFonts w:hint="eastAsia" w:ascii="宋体" w:hAnsi="宋体" w:eastAsia="宋体" w:cs="宋体"/>
          <w:b w:val="0"/>
          <w:color w:val="auto"/>
          <w:kern w:val="2"/>
          <w:sz w:val="24"/>
          <w:szCs w:val="24"/>
          <w:highlight w:val="none"/>
          <w:u w:val="none"/>
          <w:lang w:val="en-US" w:eastAsia="zh-CN" w:bidi="ar-SA"/>
        </w:rPr>
      </w:pPr>
      <w:r>
        <w:rPr>
          <w:rFonts w:hint="eastAsia" w:ascii="宋体" w:hAnsi="宋体" w:eastAsia="宋体" w:cs="宋体"/>
          <w:b w:val="0"/>
          <w:color w:val="auto"/>
          <w:kern w:val="2"/>
          <w:sz w:val="24"/>
          <w:szCs w:val="24"/>
          <w:highlight w:val="none"/>
          <w:u w:val="none"/>
          <w:lang w:val="en-US" w:eastAsia="zh-CN" w:bidi="ar-SA"/>
        </w:rPr>
        <w:t>②具有良好的商业信誉和健全的财务会计制度；</w:t>
      </w:r>
    </w:p>
    <w:p>
      <w:pPr>
        <w:spacing w:line="360" w:lineRule="auto"/>
        <w:rPr>
          <w:rFonts w:hint="eastAsia" w:ascii="宋体" w:hAnsi="宋体" w:eastAsia="宋体" w:cs="宋体"/>
          <w:b w:val="0"/>
          <w:color w:val="auto"/>
          <w:kern w:val="2"/>
          <w:sz w:val="24"/>
          <w:szCs w:val="24"/>
          <w:highlight w:val="none"/>
          <w:u w:val="none"/>
          <w:lang w:val="en-US" w:eastAsia="zh-CN" w:bidi="ar-SA"/>
        </w:rPr>
      </w:pPr>
      <w:r>
        <w:rPr>
          <w:rFonts w:hint="eastAsia" w:ascii="宋体" w:hAnsi="宋体" w:eastAsia="宋体" w:cs="宋体"/>
          <w:b w:val="0"/>
          <w:color w:val="auto"/>
          <w:kern w:val="2"/>
          <w:sz w:val="24"/>
          <w:szCs w:val="24"/>
          <w:highlight w:val="none"/>
          <w:u w:val="none"/>
          <w:lang w:val="en-US" w:eastAsia="zh-CN" w:bidi="ar-SA"/>
        </w:rPr>
        <w:t>③具有履行合同所必须的设备和专业技术能力；</w:t>
      </w:r>
    </w:p>
    <w:p>
      <w:pPr>
        <w:spacing w:line="360" w:lineRule="auto"/>
        <w:rPr>
          <w:rFonts w:hint="eastAsia" w:ascii="宋体" w:hAnsi="宋体" w:eastAsia="宋体" w:cs="宋体"/>
          <w:b w:val="0"/>
          <w:color w:val="auto"/>
          <w:kern w:val="2"/>
          <w:sz w:val="24"/>
          <w:szCs w:val="24"/>
          <w:highlight w:val="none"/>
          <w:u w:val="none"/>
          <w:lang w:val="en-US" w:eastAsia="zh-CN" w:bidi="ar-SA"/>
        </w:rPr>
      </w:pPr>
      <w:r>
        <w:rPr>
          <w:rFonts w:hint="eastAsia" w:ascii="宋体" w:hAnsi="宋体" w:eastAsia="宋体" w:cs="宋体"/>
          <w:b w:val="0"/>
          <w:color w:val="auto"/>
          <w:kern w:val="2"/>
          <w:sz w:val="24"/>
          <w:szCs w:val="24"/>
          <w:highlight w:val="none"/>
          <w:u w:val="none"/>
          <w:lang w:val="en-US" w:eastAsia="zh-CN" w:bidi="ar-SA"/>
        </w:rPr>
        <w:t>④有依法缴纳税收和社会保障资金的良好记录；</w:t>
      </w:r>
    </w:p>
    <w:p>
      <w:pPr>
        <w:spacing w:line="360" w:lineRule="auto"/>
        <w:rPr>
          <w:rFonts w:hint="eastAsia" w:ascii="宋体" w:hAnsi="宋体" w:eastAsia="宋体" w:cs="宋体"/>
          <w:b w:val="0"/>
          <w:color w:val="auto"/>
          <w:kern w:val="2"/>
          <w:sz w:val="24"/>
          <w:szCs w:val="24"/>
          <w:highlight w:val="none"/>
          <w:u w:val="none"/>
          <w:lang w:val="en-US" w:eastAsia="zh-CN" w:bidi="ar-SA"/>
        </w:rPr>
      </w:pPr>
      <w:r>
        <w:rPr>
          <w:rFonts w:hint="eastAsia" w:ascii="宋体" w:hAnsi="宋体" w:eastAsia="宋体" w:cs="宋体"/>
          <w:b w:val="0"/>
          <w:color w:val="auto"/>
          <w:kern w:val="2"/>
          <w:sz w:val="24"/>
          <w:szCs w:val="24"/>
          <w:highlight w:val="none"/>
          <w:u w:val="none"/>
          <w:lang w:val="en-US" w:eastAsia="zh-CN" w:bidi="ar-SA"/>
        </w:rPr>
        <w:t>⑤参加政府采购活动近三年内，在经营活动中没有重大违纪记录；</w:t>
      </w:r>
    </w:p>
    <w:p>
      <w:pPr>
        <w:spacing w:line="360" w:lineRule="auto"/>
        <w:rPr>
          <w:rFonts w:hint="eastAsia" w:ascii="宋体" w:hAnsi="宋体" w:eastAsia="宋体" w:cs="宋体"/>
          <w:b w:val="0"/>
          <w:color w:val="auto"/>
          <w:kern w:val="2"/>
          <w:sz w:val="24"/>
          <w:szCs w:val="24"/>
          <w:highlight w:val="none"/>
          <w:u w:val="none"/>
          <w:lang w:val="en-US" w:eastAsia="zh-CN" w:bidi="ar-SA"/>
        </w:rPr>
      </w:pPr>
      <w:r>
        <w:rPr>
          <w:rFonts w:hint="eastAsia" w:ascii="宋体" w:hAnsi="宋体" w:eastAsia="宋体" w:cs="宋体"/>
          <w:b w:val="0"/>
          <w:color w:val="auto"/>
          <w:kern w:val="2"/>
          <w:sz w:val="24"/>
          <w:szCs w:val="24"/>
          <w:highlight w:val="none"/>
          <w:u w:val="none"/>
          <w:lang w:val="en-US" w:eastAsia="zh-CN" w:bidi="ar-SA"/>
        </w:rPr>
        <w:t>⑥法律、行政法规规定的其他条件</w:t>
      </w:r>
    </w:p>
    <w:p>
      <w:pPr>
        <w:spacing w:line="360" w:lineRule="auto"/>
        <w:rPr>
          <w:rFonts w:hint="eastAsia" w:ascii="宋体" w:hAnsi="宋体" w:eastAsia="宋体" w:cs="宋体"/>
          <w:b w:val="0"/>
          <w:color w:val="auto"/>
          <w:kern w:val="2"/>
          <w:sz w:val="24"/>
          <w:szCs w:val="24"/>
          <w:highlight w:val="none"/>
          <w:u w:val="none"/>
          <w:lang w:val="en-US" w:eastAsia="zh-CN" w:bidi="ar-SA"/>
        </w:rPr>
      </w:pPr>
      <w:r>
        <w:rPr>
          <w:rFonts w:hint="eastAsia" w:ascii="宋体" w:hAnsi="宋体" w:eastAsia="宋体" w:cs="宋体"/>
          <w:b w:val="0"/>
          <w:color w:val="auto"/>
          <w:kern w:val="2"/>
          <w:sz w:val="24"/>
          <w:szCs w:val="24"/>
          <w:highlight w:val="none"/>
          <w:u w:val="none"/>
          <w:lang w:val="en-US" w:eastAsia="zh-CN" w:bidi="ar-SA"/>
        </w:rPr>
        <w:t>（二）特定资格条件</w:t>
      </w:r>
    </w:p>
    <w:p>
      <w:pPr>
        <w:spacing w:line="360" w:lineRule="auto"/>
        <w:ind w:firstLine="480" w:firstLineChars="200"/>
        <w:rPr>
          <w:rFonts w:hint="eastAsia" w:ascii="宋体" w:hAnsi="宋体" w:eastAsia="宋体" w:cs="宋体"/>
          <w:b w:val="0"/>
          <w:color w:val="auto"/>
          <w:kern w:val="2"/>
          <w:sz w:val="24"/>
          <w:szCs w:val="24"/>
          <w:highlight w:val="none"/>
          <w:u w:val="none"/>
          <w:lang w:val="en-US" w:eastAsia="zh-CN" w:bidi="ar-SA"/>
        </w:rPr>
      </w:pPr>
      <w:r>
        <w:rPr>
          <w:rFonts w:hint="eastAsia" w:ascii="宋体" w:hAnsi="宋体" w:eastAsia="宋体" w:cs="宋体"/>
          <w:b w:val="0"/>
          <w:color w:val="auto"/>
          <w:kern w:val="2"/>
          <w:sz w:val="24"/>
          <w:szCs w:val="24"/>
          <w:highlight w:val="none"/>
          <w:u w:val="none"/>
          <w:lang w:val="en-US" w:eastAsia="zh-CN" w:bidi="ar-SA"/>
        </w:rPr>
        <w:t>无。</w:t>
      </w:r>
    </w:p>
    <w:p>
      <w:pPr>
        <w:spacing w:line="360" w:lineRule="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u w:val="single"/>
          <w:lang w:val="en-US" w:eastAsia="zh-CN" w:bidi="ar-SA"/>
        </w:rPr>
        <w:t>说明：</w:t>
      </w:r>
      <w:r>
        <w:rPr>
          <w:rFonts w:hint="eastAsia" w:ascii="宋体" w:hAnsi="宋体" w:cs="宋体"/>
          <w:b w:val="0"/>
          <w:color w:val="auto"/>
          <w:kern w:val="2"/>
          <w:sz w:val="24"/>
          <w:szCs w:val="24"/>
          <w:highlight w:val="none"/>
          <w:u w:val="single"/>
          <w:lang w:val="en-US" w:eastAsia="zh-CN" w:bidi="ar-SA"/>
        </w:rPr>
        <w:t>上述证明材料须在投标文件中准备复印件加盖公章，</w:t>
      </w:r>
      <w:bookmarkStart w:id="8" w:name="_Toc19389"/>
      <w:r>
        <w:rPr>
          <w:rFonts w:hint="eastAsia" w:ascii="宋体" w:hAnsi="宋体" w:cs="宋体"/>
          <w:b w:val="0"/>
          <w:color w:val="auto"/>
          <w:kern w:val="2"/>
          <w:sz w:val="24"/>
          <w:szCs w:val="24"/>
          <w:highlight w:val="none"/>
          <w:u w:val="single"/>
          <w:lang w:val="en-US" w:eastAsia="zh-CN" w:bidi="ar-SA"/>
        </w:rPr>
        <w:t>原件开标现场备查</w:t>
      </w:r>
      <w:bookmarkEnd w:id="8"/>
      <w:r>
        <w:rPr>
          <w:rFonts w:hint="eastAsia" w:ascii="宋体" w:hAnsi="宋体" w:cs="宋体"/>
          <w:b w:val="0"/>
          <w:color w:val="auto"/>
          <w:kern w:val="2"/>
          <w:sz w:val="24"/>
          <w:szCs w:val="24"/>
          <w:highlight w:val="none"/>
          <w:u w:val="single"/>
          <w:lang w:val="en-US" w:eastAsia="zh-CN" w:bidi="ar-SA"/>
        </w:rPr>
        <w:t>。</w:t>
      </w:r>
    </w:p>
    <w:p>
      <w:pPr>
        <w:pStyle w:val="4"/>
        <w:spacing w:line="500" w:lineRule="exac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五、投标有关说明</w:t>
      </w:r>
    </w:p>
    <w:p>
      <w:pPr>
        <w:adjustRightInd w:val="0"/>
        <w:snapToGrid w:val="0"/>
        <w:spacing w:line="360" w:lineRule="auto"/>
        <w:ind w:firstLine="542" w:firstLineChars="225"/>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报名</w:t>
      </w:r>
      <w:r>
        <w:rPr>
          <w:rFonts w:hint="eastAsia" w:ascii="宋体" w:hAnsi="宋体" w:eastAsia="宋体" w:cs="宋体"/>
          <w:color w:val="auto"/>
          <w:sz w:val="24"/>
          <w:szCs w:val="24"/>
          <w:highlight w:val="none"/>
        </w:rPr>
        <w:t>：20</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rPr>
        <w:t>日至</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31</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8:00-12：00、14:00-</w:t>
      </w:r>
      <w:r>
        <w:rPr>
          <w:rFonts w:hint="eastAsia" w:ascii="宋体" w:hAnsi="宋体" w:eastAsia="宋体" w:cs="宋体"/>
          <w:color w:val="auto"/>
          <w:sz w:val="24"/>
          <w:szCs w:val="24"/>
          <w:highlight w:val="none"/>
        </w:rPr>
        <w:t>17:00（</w:t>
      </w:r>
      <w:r>
        <w:rPr>
          <w:rFonts w:hint="eastAsia" w:ascii="宋体" w:hAnsi="宋体" w:cs="宋体"/>
          <w:color w:val="auto"/>
          <w:sz w:val="24"/>
          <w:szCs w:val="24"/>
          <w:highlight w:val="none"/>
          <w:lang w:eastAsia="zh-CN"/>
        </w:rPr>
        <w:t>工作日，</w:t>
      </w:r>
      <w:r>
        <w:rPr>
          <w:rFonts w:hint="eastAsia" w:ascii="宋体" w:hAnsi="宋体" w:eastAsia="宋体" w:cs="宋体"/>
          <w:color w:val="auto"/>
          <w:sz w:val="24"/>
          <w:szCs w:val="24"/>
          <w:highlight w:val="none"/>
        </w:rPr>
        <w:t>工作时间）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1）现场报名：</w:t>
      </w:r>
      <w:r>
        <w:rPr>
          <w:rFonts w:hint="eastAsia" w:ascii="宋体" w:hAnsi="宋体" w:eastAsia="宋体" w:cs="宋体"/>
          <w:color w:val="auto"/>
          <w:sz w:val="24"/>
          <w:szCs w:val="24"/>
          <w:highlight w:val="none"/>
        </w:rPr>
        <w:t>到重庆医科大学附属康复医院大公馆院区行政办公区三楼招采办（重庆市九龙坡区谢家湾文化七村50号5号楼三楼）</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报名提供：营业执照</w:t>
      </w:r>
      <w:r>
        <w:rPr>
          <w:rFonts w:hint="eastAsia" w:ascii="宋体" w:hAnsi="宋体" w:eastAsia="宋体" w:cs="宋体"/>
          <w:color w:val="auto"/>
          <w:sz w:val="24"/>
          <w:szCs w:val="24"/>
          <w:highlight w:val="none"/>
          <w:lang w:val="en-US" w:eastAsia="zh-CN"/>
        </w:rPr>
        <w:t>复印件加盖公章</w:t>
      </w:r>
      <w:r>
        <w:rPr>
          <w:rFonts w:hint="eastAsia" w:ascii="宋体" w:hAnsi="宋体" w:cs="宋体"/>
          <w:color w:val="auto"/>
          <w:sz w:val="24"/>
          <w:szCs w:val="24"/>
          <w:highlight w:val="none"/>
          <w:lang w:val="en-US" w:eastAsia="zh-CN"/>
        </w:rPr>
        <w:t>，现场填写报名表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2）线上报名：</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"mailto:下载报名表填写并加盖公章，和营业执照复印件加盖公章扫描件一并，在上述规定时间范围内，发送至邮箱296116331@qq.com。"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下载报名表填写并加盖公章，和营业执照复印件加盖公章扫描件一并，在上述规定时间范围内，发送至邮箱296116331@qq.com</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fldChar w:fldCharType="end"/>
      </w:r>
    </w:p>
    <w:p>
      <w:pPr>
        <w:adjustRightInd w:val="0"/>
        <w:snapToGrid w:val="0"/>
        <w:spacing w:line="360" w:lineRule="auto"/>
        <w:ind w:firstLine="542" w:firstLineChars="225"/>
        <w:rPr>
          <w:rFonts w:hint="default" w:ascii="宋体" w:hAnsi="宋体" w:cs="宋体"/>
          <w:color w:val="auto"/>
          <w:sz w:val="24"/>
          <w:szCs w:val="24"/>
          <w:highlight w:val="none"/>
          <w:lang w:val="en-US" w:eastAsia="zh-CN"/>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响应文件提交</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 xml:space="preserve">  8:30 —9:00</w:t>
      </w:r>
    </w:p>
    <w:p>
      <w:pPr>
        <w:adjustRightInd w:val="0"/>
        <w:snapToGrid w:val="0"/>
        <w:spacing w:line="360" w:lineRule="auto"/>
        <w:ind w:firstLine="542" w:firstLineChars="225"/>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联系人</w:t>
      </w:r>
      <w:r>
        <w:rPr>
          <w:rFonts w:hint="eastAsia" w:ascii="宋体" w:hAnsi="宋体" w:eastAsia="宋体" w:cs="宋体"/>
          <w:color w:val="auto"/>
          <w:sz w:val="24"/>
          <w:szCs w:val="24"/>
          <w:highlight w:val="none"/>
        </w:rPr>
        <w:t xml:space="preserve">：袁老师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联系电话：023-68087680。</w:t>
      </w:r>
    </w:p>
    <w:p>
      <w:pPr>
        <w:adjustRightInd w:val="0"/>
        <w:snapToGrid w:val="0"/>
        <w:spacing w:line="360" w:lineRule="auto"/>
        <w:ind w:firstLine="542" w:firstLineChars="225"/>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招标时间</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日 </w:t>
      </w:r>
      <w:r>
        <w:rPr>
          <w:rFonts w:hint="eastAsia" w:ascii="宋体" w:hAnsi="宋体" w:cs="宋体"/>
          <w:color w:val="auto"/>
          <w:sz w:val="24"/>
          <w:szCs w:val="24"/>
          <w:highlight w:val="none"/>
          <w:lang w:val="en-US" w:eastAsia="zh-CN"/>
        </w:rPr>
        <w:t xml:space="preserve"> 9:00 </w:t>
      </w:r>
      <w:r>
        <w:rPr>
          <w:rFonts w:hint="eastAsia" w:ascii="宋体" w:hAnsi="宋体" w:eastAsia="宋体" w:cs="宋体"/>
          <w:color w:val="auto"/>
          <w:sz w:val="24"/>
          <w:szCs w:val="24"/>
          <w:highlight w:val="none"/>
        </w:rPr>
        <w:t xml:space="preserve"> </w:t>
      </w:r>
    </w:p>
    <w:p>
      <w:pPr>
        <w:adjustRightInd w:val="0"/>
        <w:snapToGrid w:val="0"/>
        <w:spacing w:line="360" w:lineRule="auto"/>
        <w:ind w:firstLine="542" w:firstLineChars="225"/>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5</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招标地点</w:t>
      </w:r>
      <w:r>
        <w:rPr>
          <w:rFonts w:hint="eastAsia" w:ascii="宋体" w:hAnsi="宋体" w:eastAsia="宋体" w:cs="宋体"/>
          <w:color w:val="auto"/>
          <w:sz w:val="24"/>
          <w:szCs w:val="24"/>
          <w:highlight w:val="none"/>
        </w:rPr>
        <w:t>：重庆医科大学附属康复医院大公馆院区行政办公区三楼会议室。</w:t>
      </w:r>
    </w:p>
    <w:p>
      <w:pPr>
        <w:adjustRightInd w:val="0"/>
        <w:snapToGrid w:val="0"/>
        <w:spacing w:line="360" w:lineRule="auto"/>
        <w:ind w:firstLine="542" w:firstLineChars="225"/>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6</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投标保证金</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无</w:t>
      </w:r>
    </w:p>
    <w:p>
      <w:pPr>
        <w:adjustRightInd w:val="0"/>
        <w:snapToGrid w:val="0"/>
        <w:spacing w:line="360" w:lineRule="auto"/>
        <w:ind w:firstLine="542" w:firstLineChars="22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本项目不接受联合体投标</w:t>
      </w:r>
      <w:r>
        <w:rPr>
          <w:rFonts w:hint="eastAsia" w:ascii="宋体" w:hAnsi="宋体" w:cs="宋体"/>
          <w:b/>
          <w:color w:val="auto"/>
          <w:sz w:val="24"/>
          <w:szCs w:val="24"/>
          <w:highlight w:val="none"/>
          <w:lang w:eastAsia="zh-CN"/>
        </w:rPr>
        <w:t>，不得转包或分包</w:t>
      </w:r>
      <w:r>
        <w:rPr>
          <w:rFonts w:hint="eastAsia" w:ascii="宋体" w:hAnsi="宋体" w:eastAsia="宋体" w:cs="宋体"/>
          <w:b/>
          <w:color w:val="auto"/>
          <w:sz w:val="24"/>
          <w:szCs w:val="24"/>
          <w:highlight w:val="none"/>
        </w:rPr>
        <w:t>。</w:t>
      </w:r>
    </w:p>
    <w:p>
      <w:pPr>
        <w:adjustRightInd w:val="0"/>
        <w:snapToGrid w:val="0"/>
        <w:spacing w:line="360" w:lineRule="auto"/>
        <w:ind w:firstLine="542" w:firstLineChars="225"/>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8</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无效谈判</w:t>
      </w:r>
      <w:r>
        <w:rPr>
          <w:rFonts w:hint="eastAsia" w:ascii="宋体" w:hAnsi="宋体" w:eastAsia="宋体" w:cs="宋体"/>
          <w:color w:val="auto"/>
          <w:sz w:val="24"/>
          <w:szCs w:val="24"/>
          <w:highlight w:val="none"/>
        </w:rPr>
        <w:t>：</w:t>
      </w:r>
    </w:p>
    <w:p>
      <w:pPr>
        <w:adjustRightInd w:val="0"/>
        <w:snapToGrid w:val="0"/>
        <w:spacing w:line="360" w:lineRule="auto"/>
        <w:ind w:firstLine="840" w:firstLine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供应商发生以下条款情况之一者，视为无效谈判，其响应文件将被拒绝：</w:t>
      </w:r>
    </w:p>
    <w:p>
      <w:pPr>
        <w:adjustRightInd w:val="0"/>
        <w:snapToGrid w:val="0"/>
        <w:spacing w:line="360" w:lineRule="auto"/>
        <w:ind w:firstLine="700" w:firstLineChars="2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（1）不符合规定的资格条件；</w:t>
      </w:r>
    </w:p>
    <w:p>
      <w:pPr>
        <w:adjustRightInd w:val="0"/>
        <w:snapToGrid w:val="0"/>
        <w:spacing w:line="360" w:lineRule="auto"/>
        <w:ind w:firstLine="700" w:firstLineChars="2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（2）法定代表人或其授权代表未参加谈判；</w:t>
      </w:r>
    </w:p>
    <w:p>
      <w:pPr>
        <w:adjustRightInd w:val="0"/>
        <w:snapToGrid w:val="0"/>
        <w:spacing w:line="360" w:lineRule="auto"/>
        <w:ind w:firstLine="700" w:firstLineChars="2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（3）供应商未按照医院采购文件的要求缴纳</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保证金</w:t>
      </w:r>
      <w:r>
        <w:rPr>
          <w:rFonts w:hint="eastAsia" w:ascii="宋体" w:hAnsi="宋体" w:cs="宋体"/>
          <w:color w:val="auto"/>
          <w:sz w:val="24"/>
          <w:szCs w:val="24"/>
          <w:highlight w:val="none"/>
          <w:lang w:eastAsia="zh-CN"/>
        </w:rPr>
        <w:t>（若有）</w:t>
      </w:r>
      <w:r>
        <w:rPr>
          <w:rFonts w:hint="eastAsia" w:ascii="宋体" w:hAnsi="宋体" w:eastAsia="宋体" w:cs="宋体"/>
          <w:color w:val="auto"/>
          <w:sz w:val="24"/>
          <w:szCs w:val="24"/>
          <w:highlight w:val="none"/>
        </w:rPr>
        <w:t>；</w:t>
      </w:r>
    </w:p>
    <w:p>
      <w:pPr>
        <w:adjustRightInd w:val="0"/>
        <w:snapToGrid w:val="0"/>
        <w:spacing w:line="360" w:lineRule="auto"/>
        <w:ind w:firstLine="700" w:firstLineChars="2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（4）响应文件不按规定签字、盖章；</w:t>
      </w:r>
    </w:p>
    <w:p>
      <w:pPr>
        <w:adjustRightInd w:val="0"/>
        <w:snapToGrid w:val="0"/>
        <w:spacing w:line="360" w:lineRule="auto"/>
        <w:ind w:firstLine="700" w:firstLineChars="2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（5）供应商响应文件内容有与国家现行法律法规相违背的内容，或附有采购人无法接受的条件。</w:t>
      </w:r>
    </w:p>
    <w:p>
      <w:pPr>
        <w:adjustRightInd w:val="0"/>
        <w:snapToGrid w:val="0"/>
        <w:spacing w:line="360" w:lineRule="auto"/>
        <w:ind w:firstLine="704" w:firstLineChars="29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9</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应予废标的情形：如</w:t>
      </w:r>
    </w:p>
    <w:p>
      <w:pPr>
        <w:adjustRightInd w:val="0"/>
        <w:snapToGri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（1）出现影响采购公正的违法违纪行为；</w:t>
      </w:r>
    </w:p>
    <w:p>
      <w:pPr>
        <w:adjustRightInd w:val="0"/>
        <w:snapToGri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（2）供应商报价不合理；</w:t>
      </w:r>
    </w:p>
    <w:p>
      <w:pPr>
        <w:adjustRightInd w:val="0"/>
        <w:snapToGri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（3）因重大变故采购任务取消的；</w:t>
      </w:r>
    </w:p>
    <w:p>
      <w:pPr>
        <w:adjustRightInd w:val="0"/>
        <w:snapToGri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（4）其他经谈判小组一致认定应予废标的情形。</w:t>
      </w:r>
    </w:p>
    <w:p>
      <w:pPr>
        <w:adjustRightInd w:val="0"/>
        <w:snapToGrid w:val="0"/>
        <w:spacing w:line="360" w:lineRule="auto"/>
        <w:ind w:firstLine="723" w:firstLineChars="3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10</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其他说明</w:t>
      </w:r>
      <w:r>
        <w:rPr>
          <w:rFonts w:hint="eastAsia" w:ascii="宋体" w:hAnsi="宋体" w:eastAsia="宋体" w:cs="宋体"/>
          <w:color w:val="auto"/>
          <w:sz w:val="24"/>
          <w:szCs w:val="24"/>
          <w:highlight w:val="none"/>
        </w:rPr>
        <w:t>：</w:t>
      </w:r>
    </w:p>
    <w:p>
      <w:pPr>
        <w:adjustRightInd w:val="0"/>
        <w:snapToGri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（1）参与投标的供应商应承担其编制响应文件与递交响应文件所涉及的一切费用，不论谈判结果如何，采购人在任何情况下无义务也无责任承担这些费用。</w:t>
      </w:r>
    </w:p>
    <w:p>
      <w:pPr>
        <w:adjustRightInd w:val="0"/>
        <w:snapToGri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（2）谈判有效期：响应文件及有关承诺文件有效期为谈判开始时间起90天。</w:t>
      </w:r>
    </w:p>
    <w:p>
      <w:pPr>
        <w:adjustRightInd w:val="0"/>
        <w:snapToGrid w:val="0"/>
        <w:spacing w:line="360" w:lineRule="auto"/>
        <w:ind w:firstLine="720"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（3）响应文件一式四份，其中正本一份，副本三份，副本可为正本的复印件，应与正本一致，如出现不一致情况以正本为准。</w:t>
      </w:r>
      <w:r>
        <w:rPr>
          <w:rFonts w:hint="eastAsia" w:ascii="宋体" w:hAnsi="宋体" w:cs="宋体"/>
          <w:color w:val="auto"/>
          <w:sz w:val="24"/>
          <w:szCs w:val="24"/>
          <w:highlight w:val="none"/>
          <w:lang w:eastAsia="zh-CN"/>
        </w:rPr>
        <w:t>响应文件须每页加盖公章。</w:t>
      </w:r>
      <w:r>
        <w:rPr>
          <w:rFonts w:hint="eastAsia" w:ascii="宋体" w:hAnsi="宋体" w:cs="宋体"/>
          <w:color w:val="auto"/>
          <w:sz w:val="24"/>
          <w:szCs w:val="24"/>
          <w:highlight w:val="none"/>
          <w:lang w:val="en-US" w:eastAsia="zh-CN"/>
        </w:rPr>
        <w:t>封面标明正副本。</w:t>
      </w:r>
    </w:p>
    <w:p>
      <w:pPr>
        <w:adjustRightInd w:val="0"/>
        <w:snapToGri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响应文件的正本、副本须进行密封。密封包装上注明项目名称、供应商名称。信封的封口应加盖供应商公章或法人授权代表签字。</w:t>
      </w:r>
      <w:r>
        <w:rPr>
          <w:rFonts w:hint="eastAsia" w:ascii="宋体" w:hAnsi="宋体" w:eastAsia="宋体" w:cs="宋体"/>
          <w:color w:val="auto"/>
          <w:sz w:val="24"/>
          <w:szCs w:val="24"/>
          <w:highlight w:val="none"/>
        </w:rPr>
        <w:t xml:space="preserve"> </w:t>
      </w:r>
    </w:p>
    <w:p>
      <w:pPr>
        <w:adjustRightInd w:val="0"/>
        <w:snapToGrid w:val="0"/>
        <w:spacing w:line="360" w:lineRule="auto"/>
        <w:ind w:firstLine="720" w:firstLineChars="300"/>
        <w:rPr>
          <w:rFonts w:hint="eastAsia" w:ascii="宋体" w:hAnsi="宋体" w:eastAsia="宋体" w:cs="宋体"/>
          <w:b/>
          <w:bCs/>
          <w:color w:val="auto"/>
          <w:sz w:val="28"/>
          <w:szCs w:val="28"/>
          <w:highlight w:val="none"/>
        </w:rPr>
      </w:pPr>
      <w:r>
        <w:rPr>
          <w:rFonts w:hint="eastAsia" w:ascii="宋体" w:hAnsi="宋体" w:eastAsia="宋体" w:cs="宋体"/>
          <w:color w:val="auto"/>
          <w:sz w:val="24"/>
          <w:szCs w:val="24"/>
          <w:highlight w:val="none"/>
        </w:rPr>
        <w:t>（5）投标人无论是否中标，投标人递交的投标文件均不退还。</w:t>
      </w:r>
      <w:bookmarkStart w:id="9" w:name="_Toc89868482"/>
    </w:p>
    <w:bookmarkEnd w:id="9"/>
    <w:p>
      <w:pPr>
        <w:pStyle w:val="4"/>
        <w:jc w:val="both"/>
        <w:rPr>
          <w:rFonts w:hint="eastAsia" w:asciiTheme="minorEastAsia" w:hAnsiTheme="minorEastAsia" w:eastAsiaTheme="minorEastAsia" w:cstheme="minorEastAsia"/>
          <w:color w:val="auto"/>
          <w:sz w:val="24"/>
          <w:szCs w:val="24"/>
          <w:highlight w:val="none"/>
        </w:rPr>
      </w:pPr>
      <w:bookmarkStart w:id="10" w:name="_Toc15924"/>
      <w:bookmarkStart w:id="11" w:name="_Toc533845309"/>
      <w:bookmarkStart w:id="12" w:name="_Toc5116"/>
      <w:bookmarkStart w:id="13" w:name="_Toc32715"/>
      <w:bookmarkStart w:id="14" w:name="_Toc465084029"/>
    </w:p>
    <w:p>
      <w:pPr>
        <w:rPr>
          <w:rFonts w:hint="eastAsia"/>
        </w:rPr>
      </w:pPr>
    </w:p>
    <w:p>
      <w:pPr>
        <w:pStyle w:val="3"/>
        <w:spacing w:beforeLines="0" w:afterLines="0" w:line="360" w:lineRule="auto"/>
        <w:jc w:val="center"/>
        <w:rPr>
          <w:rFonts w:hint="eastAsia"/>
        </w:rPr>
      </w:pPr>
      <w:r>
        <w:rPr>
          <w:rFonts w:hint="eastAsia" w:ascii="宋体" w:hAnsi="宋体" w:eastAsia="宋体" w:cs="宋体"/>
          <w:b/>
          <w:bCs/>
          <w:color w:val="auto"/>
          <w:sz w:val="28"/>
          <w:szCs w:val="28"/>
          <w:highlight w:val="none"/>
        </w:rPr>
        <w:t xml:space="preserve">第二篇 </w:t>
      </w:r>
      <w:r>
        <w:rPr>
          <w:rFonts w:hint="eastAsia" w:ascii="宋体" w:hAnsi="宋体" w:eastAsia="宋体" w:cs="宋体"/>
          <w:b/>
          <w:bCs/>
          <w:color w:val="auto"/>
          <w:sz w:val="28"/>
          <w:szCs w:val="28"/>
          <w:highlight w:val="none"/>
          <w:lang w:val="en-US" w:eastAsia="zh-CN"/>
        </w:rPr>
        <w:t>项目</w:t>
      </w:r>
      <w:bookmarkStart w:id="15" w:name="_Toc533845304"/>
      <w:r>
        <w:rPr>
          <w:rFonts w:hint="eastAsia" w:ascii="宋体" w:hAnsi="宋体" w:eastAsia="宋体" w:cs="宋体"/>
          <w:b/>
          <w:bCs/>
          <w:strike w:val="0"/>
          <w:dstrike w:val="0"/>
          <w:color w:val="auto"/>
          <w:sz w:val="28"/>
          <w:szCs w:val="28"/>
          <w:highlight w:val="none"/>
          <w:lang w:val="en-US" w:eastAsia="zh-CN"/>
        </w:rPr>
        <w:t>服务</w:t>
      </w:r>
      <w:r>
        <w:rPr>
          <w:rFonts w:hint="eastAsia" w:ascii="宋体" w:hAnsi="宋体" w:eastAsia="宋体" w:cs="宋体"/>
          <w:b/>
          <w:bCs/>
          <w:color w:val="auto"/>
          <w:sz w:val="28"/>
          <w:szCs w:val="28"/>
          <w:highlight w:val="none"/>
          <w:lang w:val="en-US" w:eastAsia="zh-CN"/>
        </w:rPr>
        <w:t>要求</w:t>
      </w:r>
      <w:bookmarkEnd w:id="15"/>
    </w:p>
    <w:bookmarkEnd w:id="10"/>
    <w:bookmarkEnd w:id="11"/>
    <w:bookmarkEnd w:id="12"/>
    <w:bookmarkEnd w:id="13"/>
    <w:p>
      <w:pPr>
        <w:tabs>
          <w:tab w:val="left" w:pos="720"/>
        </w:tabs>
        <w:adjustRightInd w:val="0"/>
        <w:snapToGrid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总体</w:t>
      </w:r>
      <w:r>
        <w:rPr>
          <w:rFonts w:hint="eastAsia" w:asciiTheme="minorEastAsia" w:hAnsiTheme="minorEastAsia" w:eastAsiaTheme="minorEastAsia" w:cstheme="minorEastAsia"/>
          <w:sz w:val="24"/>
          <w:szCs w:val="24"/>
          <w:lang w:val="en-US" w:eastAsia="zh-CN"/>
        </w:rPr>
        <w:t>要求：采购人的混合式课程</w:t>
      </w:r>
      <w:r>
        <w:rPr>
          <w:rFonts w:hint="eastAsia" w:asciiTheme="minorEastAsia" w:hAnsiTheme="minorEastAsia" w:cstheme="minorEastAsia"/>
          <w:sz w:val="24"/>
          <w:szCs w:val="24"/>
          <w:lang w:val="en-US" w:eastAsia="zh-CN"/>
        </w:rPr>
        <w:t>建设（《社区康复学》和《康复心理学》共2门课程）</w:t>
      </w:r>
      <w:r>
        <w:rPr>
          <w:rFonts w:hint="eastAsia" w:asciiTheme="minorEastAsia" w:hAnsiTheme="minorEastAsia" w:eastAsiaTheme="minorEastAsia" w:cstheme="minorEastAsia"/>
          <w:sz w:val="24"/>
          <w:szCs w:val="24"/>
          <w:lang w:val="en-US" w:eastAsia="zh-CN"/>
        </w:rPr>
        <w:t>旨在推动采购人建设优质的</w:t>
      </w:r>
      <w:r>
        <w:rPr>
          <w:rFonts w:hint="eastAsia" w:asciiTheme="minorEastAsia" w:hAnsiTheme="minorEastAsia" w:cstheme="minorEastAsia"/>
          <w:sz w:val="24"/>
          <w:szCs w:val="24"/>
          <w:lang w:val="en-US" w:eastAsia="zh-CN"/>
        </w:rPr>
        <w:t>混合式</w:t>
      </w:r>
      <w:r>
        <w:rPr>
          <w:rFonts w:hint="eastAsia" w:asciiTheme="minorEastAsia" w:hAnsiTheme="minorEastAsia" w:eastAsiaTheme="minorEastAsia" w:cstheme="minorEastAsia"/>
          <w:sz w:val="24"/>
          <w:szCs w:val="24"/>
          <w:lang w:val="en-US" w:eastAsia="zh-CN"/>
        </w:rPr>
        <w:t>课程，丰富采购人的在线教育资源，遴选出</w:t>
      </w:r>
      <w:r>
        <w:rPr>
          <w:rFonts w:hint="eastAsia" w:asciiTheme="minorEastAsia" w:hAnsiTheme="minorEastAsia" w:cstheme="minorEastAsia"/>
          <w:sz w:val="24"/>
          <w:szCs w:val="24"/>
          <w:lang w:val="en-US" w:eastAsia="zh-CN"/>
        </w:rPr>
        <w:t>至</w:t>
      </w:r>
      <w:r>
        <w:rPr>
          <w:rFonts w:hint="eastAsia" w:asciiTheme="minorEastAsia" w:hAnsiTheme="minorEastAsia" w:eastAsiaTheme="minorEastAsia" w:cstheme="minorEastAsia"/>
          <w:sz w:val="24"/>
          <w:szCs w:val="24"/>
          <w:lang w:val="en-US" w:eastAsia="zh-CN"/>
        </w:rPr>
        <w:t>少一门优质课程参与校级、市级混合式课程评审。此次课程建设服务遵循重庆市教委、重庆医科大学对混合式课程的建设要求，要求整体课程具备混合式开发模式课程运行要求。</w:t>
      </w:r>
    </w:p>
    <w:p>
      <w:pPr>
        <w:tabs>
          <w:tab w:val="left" w:pos="720"/>
        </w:tabs>
        <w:adjustRightInd w:val="0"/>
        <w:snapToGrid w:val="0"/>
        <w:spacing w:line="360" w:lineRule="auto"/>
        <w:ind w:firstLine="480" w:firstLineChars="200"/>
        <w:rPr>
          <w:rFonts w:hint="default"/>
          <w:lang w:val="en-US" w:eastAsia="zh-CN"/>
        </w:rPr>
      </w:pPr>
      <w:r>
        <w:rPr>
          <w:rFonts w:hint="eastAsia" w:asciiTheme="minorEastAsia" w:hAnsiTheme="minorEastAsia" w:eastAsiaTheme="minorEastAsia" w:cstheme="minorEastAsia"/>
          <w:sz w:val="24"/>
          <w:szCs w:val="24"/>
          <w:lang w:val="en-US" w:eastAsia="zh-CN"/>
        </w:rPr>
        <w:t>2.项目负责人要求：指定专人与采购人对接、统筹安排课程建设各项相关事宜。</w:t>
      </w:r>
    </w:p>
    <w:p>
      <w:pPr>
        <w:tabs>
          <w:tab w:val="left" w:pos="720"/>
        </w:tabs>
        <w:adjustRightInd w:val="0"/>
        <w:snapToGrid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lang w:val="en-US" w:eastAsia="zh-CN"/>
        </w:rPr>
        <w:t>.国家有强制性标准、规范的按照国家强制性标准、规范执行，无强制性标准的按照相关标准、规范执行。</w:t>
      </w:r>
    </w:p>
    <w:p>
      <w:pPr>
        <w:tabs>
          <w:tab w:val="left" w:pos="720"/>
        </w:tabs>
        <w:adjustRightInd w:val="0"/>
        <w:snapToGrid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lang w:val="en-US" w:eastAsia="zh-CN"/>
        </w:rPr>
        <w:t>.建设内容</w:t>
      </w:r>
    </w:p>
    <w:tbl>
      <w:tblPr>
        <w:tblStyle w:val="19"/>
        <w:tblW w:w="9958" w:type="dxa"/>
        <w:tblInd w:w="0" w:type="dxa"/>
        <w:tblLayout w:type="fixed"/>
        <w:tblCellMar>
          <w:top w:w="0" w:type="dxa"/>
          <w:left w:w="108" w:type="dxa"/>
          <w:bottom w:w="0" w:type="dxa"/>
          <w:right w:w="108" w:type="dxa"/>
        </w:tblCellMar>
      </w:tblPr>
      <w:tblGrid>
        <w:gridCol w:w="936"/>
        <w:gridCol w:w="1726"/>
        <w:gridCol w:w="2516"/>
        <w:gridCol w:w="4780"/>
      </w:tblGrid>
      <w:tr>
        <w:tblPrEx>
          <w:tblCellMar>
            <w:top w:w="0" w:type="dxa"/>
            <w:left w:w="108" w:type="dxa"/>
            <w:bottom w:w="0" w:type="dxa"/>
            <w:right w:w="108" w:type="dxa"/>
          </w:tblCellMar>
        </w:tblPrEx>
        <w:trPr>
          <w:trHeight w:val="848" w:hRule="atLeast"/>
        </w:trPr>
        <w:tc>
          <w:tcPr>
            <w:tcW w:w="936" w:type="dxa"/>
            <w:tcBorders>
              <w:top w:val="single" w:color="auto" w:sz="8" w:space="0"/>
              <w:left w:val="single" w:color="auto" w:sz="8" w:space="0"/>
              <w:bottom w:val="single" w:color="auto" w:sz="4" w:space="0"/>
              <w:right w:val="single" w:color="auto" w:sz="8" w:space="0"/>
            </w:tcBorders>
            <w:shd w:val="clear" w:color="auto" w:fill="auto"/>
            <w:noWrap/>
            <w:vAlign w:val="center"/>
          </w:tcPr>
          <w:p>
            <w:pPr>
              <w:widowControl/>
              <w:jc w:val="center"/>
              <w:rPr>
                <w:rFonts w:cs="宋体" w:asciiTheme="minorHAnsi" w:hAnsiTheme="minorHAnsi" w:eastAsiaTheme="minorHAnsi"/>
                <w:b/>
                <w:bCs/>
                <w:color w:val="000000"/>
                <w:kern w:val="0"/>
                <w:sz w:val="22"/>
                <w:szCs w:val="22"/>
              </w:rPr>
            </w:pPr>
            <w:r>
              <w:rPr>
                <w:rFonts w:hint="eastAsia" w:cs="宋体" w:asciiTheme="minorHAnsi" w:hAnsiTheme="minorHAnsi" w:eastAsiaTheme="minorHAnsi"/>
                <w:b/>
                <w:bCs/>
                <w:color w:val="000000"/>
                <w:kern w:val="0"/>
                <w:sz w:val="22"/>
                <w:szCs w:val="22"/>
              </w:rPr>
              <w:t>序号</w:t>
            </w:r>
          </w:p>
        </w:tc>
        <w:tc>
          <w:tcPr>
            <w:tcW w:w="1726" w:type="dxa"/>
            <w:tcBorders>
              <w:top w:val="single" w:color="auto" w:sz="8" w:space="0"/>
              <w:left w:val="nil"/>
              <w:bottom w:val="single" w:color="auto" w:sz="4" w:space="0"/>
              <w:right w:val="single" w:color="auto" w:sz="8" w:space="0"/>
            </w:tcBorders>
            <w:shd w:val="clear" w:color="auto" w:fill="auto"/>
            <w:noWrap/>
            <w:vAlign w:val="center"/>
          </w:tcPr>
          <w:p>
            <w:pPr>
              <w:widowControl/>
              <w:jc w:val="center"/>
              <w:rPr>
                <w:rFonts w:hint="default" w:eastAsia="宋体" w:cs="宋体" w:asciiTheme="minorHAnsi" w:hAnsiTheme="minorHAnsi"/>
                <w:b/>
                <w:bCs/>
                <w:color w:val="000000"/>
                <w:kern w:val="0"/>
                <w:sz w:val="22"/>
                <w:szCs w:val="22"/>
                <w:lang w:val="en-US" w:eastAsia="zh-CN"/>
              </w:rPr>
            </w:pPr>
            <w:r>
              <w:rPr>
                <w:rFonts w:hint="eastAsia" w:eastAsia="宋体" w:cs="宋体" w:asciiTheme="minorHAnsi" w:hAnsiTheme="minorHAnsi"/>
                <w:b/>
                <w:bCs/>
                <w:color w:val="000000"/>
                <w:kern w:val="0"/>
                <w:sz w:val="22"/>
                <w:szCs w:val="22"/>
                <w:lang w:val="en-US" w:eastAsia="zh-CN"/>
              </w:rPr>
              <w:t>项目名称</w:t>
            </w:r>
          </w:p>
        </w:tc>
        <w:tc>
          <w:tcPr>
            <w:tcW w:w="2516" w:type="dxa"/>
            <w:tcBorders>
              <w:top w:val="single" w:color="000000" w:sz="8" w:space="0"/>
              <w:left w:val="nil"/>
              <w:bottom w:val="single" w:color="auto" w:sz="4" w:space="0"/>
              <w:right w:val="single" w:color="000000" w:sz="8" w:space="0"/>
            </w:tcBorders>
            <w:shd w:val="clear" w:color="auto" w:fill="auto"/>
            <w:vAlign w:val="center"/>
          </w:tcPr>
          <w:p>
            <w:pPr>
              <w:widowControl/>
              <w:jc w:val="center"/>
              <w:rPr>
                <w:rFonts w:cs="宋体" w:asciiTheme="minorHAnsi" w:hAnsiTheme="minorHAnsi" w:eastAsiaTheme="minorHAnsi"/>
                <w:b/>
                <w:bCs/>
                <w:color w:val="000000"/>
                <w:kern w:val="0"/>
                <w:sz w:val="20"/>
              </w:rPr>
            </w:pPr>
            <w:r>
              <w:rPr>
                <w:rFonts w:hint="eastAsia" w:cs="宋体" w:asciiTheme="minorHAnsi" w:hAnsiTheme="minorHAnsi" w:eastAsiaTheme="minorHAnsi"/>
                <w:b/>
                <w:bCs/>
                <w:color w:val="000000"/>
                <w:kern w:val="0"/>
                <w:sz w:val="20"/>
              </w:rPr>
              <w:t>项目情况</w:t>
            </w:r>
          </w:p>
        </w:tc>
        <w:tc>
          <w:tcPr>
            <w:tcW w:w="4780" w:type="dxa"/>
            <w:tcBorders>
              <w:top w:val="single" w:color="000000" w:sz="8" w:space="0"/>
              <w:left w:val="nil"/>
              <w:bottom w:val="single" w:color="auto" w:sz="4" w:space="0"/>
              <w:right w:val="single" w:color="000000" w:sz="8" w:space="0"/>
            </w:tcBorders>
            <w:shd w:val="clear" w:color="auto" w:fill="auto"/>
            <w:vAlign w:val="center"/>
          </w:tcPr>
          <w:p>
            <w:pPr>
              <w:widowControl/>
              <w:jc w:val="center"/>
              <w:rPr>
                <w:rFonts w:cs="宋体" w:asciiTheme="minorHAnsi" w:hAnsiTheme="minorHAnsi" w:eastAsiaTheme="minorHAnsi"/>
                <w:b/>
                <w:bCs/>
                <w:color w:val="000000"/>
                <w:kern w:val="0"/>
                <w:sz w:val="20"/>
              </w:rPr>
            </w:pPr>
            <w:r>
              <w:rPr>
                <w:rFonts w:hint="eastAsia" w:cs="宋体" w:asciiTheme="minorHAnsi" w:hAnsiTheme="minorHAnsi" w:eastAsiaTheme="minorHAnsi"/>
                <w:b/>
                <w:bCs/>
                <w:color w:val="000000"/>
                <w:kern w:val="0"/>
                <w:sz w:val="20"/>
              </w:rPr>
              <w:t>项目明细</w:t>
            </w:r>
          </w:p>
        </w:tc>
      </w:tr>
      <w:tr>
        <w:tblPrEx>
          <w:tblCellMar>
            <w:top w:w="0" w:type="dxa"/>
            <w:left w:w="108" w:type="dxa"/>
            <w:bottom w:w="0" w:type="dxa"/>
            <w:right w:w="108" w:type="dxa"/>
          </w:tblCellMar>
        </w:tblPrEx>
        <w:trPr>
          <w:trHeight w:val="848" w:hRule="atLeast"/>
        </w:trPr>
        <w:tc>
          <w:tcPr>
            <w:tcW w:w="936" w:type="dxa"/>
            <w:vMerge w:val="restart"/>
            <w:tcBorders>
              <w:top w:val="single" w:color="auto" w:sz="4" w:space="0"/>
              <w:left w:val="single" w:color="auto" w:sz="4" w:space="0"/>
              <w:bottom w:val="single" w:color="000000" w:sz="8" w:space="0"/>
              <w:right w:val="single" w:color="auto" w:sz="8" w:space="0"/>
            </w:tcBorders>
            <w:shd w:val="clear" w:color="auto" w:fill="auto"/>
            <w:noWrap/>
            <w:vAlign w:val="center"/>
          </w:tcPr>
          <w:p>
            <w:pPr>
              <w:widowControl/>
              <w:jc w:val="center"/>
              <w:rPr>
                <w:rFonts w:hint="eastAsia" w:cs="宋体" w:asciiTheme="minorHAnsi" w:hAnsiTheme="minorHAnsi" w:eastAsiaTheme="minorHAnsi"/>
                <w:color w:val="000000"/>
                <w:kern w:val="0"/>
                <w:sz w:val="20"/>
              </w:rPr>
            </w:pPr>
            <w:r>
              <w:rPr>
                <w:rFonts w:hint="eastAsia" w:cs="宋体" w:asciiTheme="minorHAnsi" w:hAnsiTheme="minorHAnsi" w:eastAsiaTheme="minorHAnsi"/>
                <w:color w:val="000000"/>
                <w:kern w:val="0"/>
                <w:sz w:val="20"/>
              </w:rPr>
              <w:t>1</w:t>
            </w:r>
          </w:p>
        </w:tc>
        <w:tc>
          <w:tcPr>
            <w:tcW w:w="1726" w:type="dxa"/>
            <w:vMerge w:val="restart"/>
            <w:tcBorders>
              <w:top w:val="single" w:color="auto" w:sz="4" w:space="0"/>
              <w:left w:val="single" w:color="auto" w:sz="8" w:space="0"/>
              <w:bottom w:val="single" w:color="000000" w:sz="8" w:space="0"/>
              <w:right w:val="single" w:color="auto" w:sz="8" w:space="0"/>
            </w:tcBorders>
            <w:shd w:val="clear" w:color="auto" w:fill="auto"/>
            <w:vAlign w:val="center"/>
          </w:tcPr>
          <w:p>
            <w:pPr>
              <w:widowControl/>
              <w:jc w:val="center"/>
              <w:rPr>
                <w:rFonts w:hint="default" w:cs="宋体" w:asciiTheme="minorHAnsi" w:hAnsiTheme="minorHAnsi" w:eastAsiaTheme="minorHAnsi"/>
                <w:color w:val="000000"/>
                <w:kern w:val="0"/>
                <w:sz w:val="20"/>
                <w:lang w:val="en-US" w:eastAsia="zh-CN"/>
              </w:rPr>
            </w:pPr>
            <w:r>
              <w:rPr>
                <w:rFonts w:hint="eastAsia" w:cs="宋体" w:asciiTheme="minorHAnsi" w:hAnsiTheme="minorHAnsi" w:eastAsiaTheme="minorHAnsi"/>
                <w:color w:val="000000"/>
                <w:kern w:val="0"/>
                <w:sz w:val="20"/>
              </w:rPr>
              <w:t>《社区康复学》和《康复心理学》混合式课程</w:t>
            </w:r>
            <w:r>
              <w:rPr>
                <w:rFonts w:hint="eastAsia" w:cs="宋体" w:asciiTheme="minorHAnsi" w:hAnsiTheme="minorHAnsi" w:eastAsiaTheme="minorHAnsi"/>
                <w:color w:val="000000"/>
                <w:kern w:val="0"/>
                <w:sz w:val="20"/>
                <w:lang w:val="en-US" w:eastAsia="zh-CN"/>
              </w:rPr>
              <w:t>建设及运行服务</w:t>
            </w:r>
          </w:p>
        </w:tc>
        <w:tc>
          <w:tcPr>
            <w:tcW w:w="2516" w:type="dxa"/>
            <w:tcBorders>
              <w:top w:val="single" w:color="auto" w:sz="4" w:space="0"/>
              <w:left w:val="single" w:color="auto" w:sz="8" w:space="0"/>
              <w:bottom w:val="single" w:color="000000" w:sz="8" w:space="0"/>
              <w:right w:val="single" w:color="auto" w:sz="8" w:space="0"/>
            </w:tcBorders>
            <w:shd w:val="clear" w:color="auto" w:fill="auto"/>
            <w:vAlign w:val="center"/>
          </w:tcPr>
          <w:p>
            <w:pPr>
              <w:widowControl/>
              <w:jc w:val="center"/>
              <w:rPr>
                <w:rFonts w:hint="default" w:cs="宋体" w:asciiTheme="minorHAnsi" w:hAnsiTheme="minorHAnsi" w:eastAsiaTheme="minorHAnsi"/>
                <w:color w:val="000000"/>
                <w:kern w:val="0"/>
                <w:sz w:val="20"/>
                <w:lang w:val="en-US" w:eastAsia="zh-CN"/>
              </w:rPr>
            </w:pPr>
            <w:r>
              <w:rPr>
                <w:rFonts w:hint="eastAsia" w:cs="宋体" w:asciiTheme="minorHAnsi" w:hAnsiTheme="minorHAnsi" w:eastAsiaTheme="minorHAnsi"/>
                <w:color w:val="000000"/>
                <w:kern w:val="0"/>
                <w:sz w:val="20"/>
                <w:lang w:val="en-US" w:eastAsia="zh-CN"/>
              </w:rPr>
              <w:t>慕课拍摄制作</w:t>
            </w:r>
          </w:p>
        </w:tc>
        <w:tc>
          <w:tcPr>
            <w:tcW w:w="4780" w:type="dxa"/>
            <w:tcBorders>
              <w:top w:val="single" w:color="auto" w:sz="4" w:space="0"/>
              <w:left w:val="nil"/>
              <w:bottom w:val="single" w:color="000000" w:sz="8" w:space="0"/>
              <w:right w:val="single" w:color="auto" w:sz="4" w:space="0"/>
            </w:tcBorders>
            <w:shd w:val="clear" w:color="auto" w:fill="auto"/>
            <w:vAlign w:val="center"/>
          </w:tcPr>
          <w:p>
            <w:pPr>
              <w:widowControl/>
              <w:jc w:val="center"/>
              <w:rPr>
                <w:rFonts w:hint="default" w:cs="宋体" w:asciiTheme="minorHAnsi" w:hAnsiTheme="minorHAnsi" w:eastAsiaTheme="minorHAnsi"/>
                <w:color w:val="000000"/>
                <w:kern w:val="0"/>
                <w:sz w:val="20"/>
                <w:lang w:val="en-US" w:eastAsia="zh-CN"/>
              </w:rPr>
            </w:pPr>
            <w:r>
              <w:rPr>
                <w:rFonts w:hint="eastAsia" w:cs="宋体" w:asciiTheme="minorHAnsi" w:hAnsiTheme="minorHAnsi" w:eastAsiaTheme="minorHAnsi"/>
                <w:color w:val="000000"/>
                <w:kern w:val="0"/>
                <w:sz w:val="20"/>
                <w:lang w:val="en-US" w:eastAsia="zh-CN"/>
              </w:rPr>
              <w:t>根据课程建设计划，不少于500分钟</w:t>
            </w:r>
          </w:p>
        </w:tc>
      </w:tr>
      <w:tr>
        <w:tblPrEx>
          <w:tblCellMar>
            <w:top w:w="0" w:type="dxa"/>
            <w:left w:w="108" w:type="dxa"/>
            <w:bottom w:w="0" w:type="dxa"/>
            <w:right w:w="108" w:type="dxa"/>
          </w:tblCellMar>
        </w:tblPrEx>
        <w:trPr>
          <w:trHeight w:val="762" w:hRule="atLeast"/>
        </w:trPr>
        <w:tc>
          <w:tcPr>
            <w:tcW w:w="936" w:type="dxa"/>
            <w:vMerge w:val="continue"/>
            <w:tcBorders>
              <w:top w:val="nil"/>
              <w:left w:val="single" w:color="auto" w:sz="4" w:space="0"/>
              <w:bottom w:val="single" w:color="000000" w:sz="8" w:space="0"/>
              <w:right w:val="single" w:color="auto" w:sz="8" w:space="0"/>
            </w:tcBorders>
            <w:vAlign w:val="center"/>
          </w:tcPr>
          <w:p>
            <w:pPr>
              <w:widowControl/>
              <w:jc w:val="left"/>
              <w:rPr>
                <w:rFonts w:cs="宋体" w:asciiTheme="minorHAnsi" w:hAnsiTheme="minorHAnsi" w:eastAsiaTheme="minorHAnsi"/>
                <w:color w:val="000000"/>
                <w:kern w:val="0"/>
                <w:sz w:val="22"/>
                <w:szCs w:val="22"/>
              </w:rPr>
            </w:pPr>
          </w:p>
        </w:tc>
        <w:tc>
          <w:tcPr>
            <w:tcW w:w="1726" w:type="dxa"/>
            <w:vMerge w:val="continue"/>
            <w:tcBorders>
              <w:top w:val="nil"/>
              <w:left w:val="single" w:color="auto" w:sz="8" w:space="0"/>
              <w:bottom w:val="single" w:color="000000" w:sz="8" w:space="0"/>
              <w:right w:val="single" w:color="auto" w:sz="4" w:space="0"/>
            </w:tcBorders>
            <w:vAlign w:val="center"/>
          </w:tcPr>
          <w:p>
            <w:pPr>
              <w:widowControl/>
              <w:jc w:val="left"/>
              <w:rPr>
                <w:rFonts w:cs="宋体" w:asciiTheme="minorHAnsi" w:hAnsiTheme="minorHAnsi" w:eastAsiaTheme="minorHAnsi"/>
                <w:color w:val="000000"/>
                <w:kern w:val="0"/>
                <w:sz w:val="22"/>
                <w:szCs w:val="22"/>
              </w:rPr>
            </w:pPr>
          </w:p>
        </w:tc>
        <w:tc>
          <w:tcPr>
            <w:tcW w:w="25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HAnsi" w:hAnsiTheme="minorHAnsi" w:eastAsiaTheme="minorHAnsi"/>
                <w:color w:val="000000"/>
                <w:kern w:val="0"/>
                <w:sz w:val="20"/>
                <w:lang w:val="en-US" w:eastAsia="zh-CN"/>
              </w:rPr>
            </w:pPr>
            <w:r>
              <w:rPr>
                <w:rFonts w:hint="eastAsia" w:cs="宋体" w:asciiTheme="minorHAnsi" w:hAnsiTheme="minorHAnsi" w:eastAsiaTheme="minorHAnsi"/>
                <w:color w:val="000000"/>
                <w:kern w:val="0"/>
                <w:sz w:val="20"/>
                <w:lang w:val="en-US" w:eastAsia="zh-CN"/>
              </w:rPr>
              <w:t>课程实录视频</w:t>
            </w:r>
          </w:p>
        </w:tc>
        <w:tc>
          <w:tcPr>
            <w:tcW w:w="4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cs="宋体" w:asciiTheme="minorHAnsi" w:hAnsiTheme="minorHAnsi" w:eastAsiaTheme="minorHAnsi"/>
                <w:color w:val="000000"/>
                <w:kern w:val="0"/>
                <w:sz w:val="20"/>
                <w:lang w:val="en-US" w:eastAsia="zh-CN"/>
              </w:rPr>
            </w:pPr>
            <w:r>
              <w:rPr>
                <w:rFonts w:hint="eastAsia" w:cs="宋体" w:asciiTheme="minorHAnsi" w:hAnsiTheme="minorHAnsi" w:eastAsiaTheme="minorHAnsi"/>
                <w:color w:val="000000"/>
                <w:kern w:val="0"/>
                <w:sz w:val="20"/>
                <w:lang w:val="en-US" w:eastAsia="zh-CN"/>
              </w:rPr>
              <w:t>课堂实录2堂课（45分钟），用以备赛</w:t>
            </w:r>
          </w:p>
        </w:tc>
      </w:tr>
      <w:tr>
        <w:tblPrEx>
          <w:tblCellMar>
            <w:top w:w="0" w:type="dxa"/>
            <w:left w:w="108" w:type="dxa"/>
            <w:bottom w:w="0" w:type="dxa"/>
            <w:right w:w="108" w:type="dxa"/>
          </w:tblCellMar>
        </w:tblPrEx>
        <w:trPr>
          <w:trHeight w:val="1017" w:hRule="atLeast"/>
        </w:trPr>
        <w:tc>
          <w:tcPr>
            <w:tcW w:w="936" w:type="dxa"/>
            <w:vMerge w:val="continue"/>
            <w:tcBorders>
              <w:top w:val="nil"/>
              <w:left w:val="single" w:color="auto" w:sz="4" w:space="0"/>
              <w:bottom w:val="single" w:color="000000" w:sz="8" w:space="0"/>
              <w:right w:val="single" w:color="auto" w:sz="8" w:space="0"/>
            </w:tcBorders>
            <w:vAlign w:val="center"/>
          </w:tcPr>
          <w:p>
            <w:pPr>
              <w:widowControl/>
              <w:jc w:val="left"/>
              <w:rPr>
                <w:rFonts w:cs="宋体" w:asciiTheme="minorHAnsi" w:hAnsiTheme="minorHAnsi" w:eastAsiaTheme="minorHAnsi"/>
                <w:color w:val="000000"/>
                <w:kern w:val="0"/>
                <w:sz w:val="22"/>
                <w:szCs w:val="22"/>
              </w:rPr>
            </w:pPr>
          </w:p>
        </w:tc>
        <w:tc>
          <w:tcPr>
            <w:tcW w:w="1726" w:type="dxa"/>
            <w:vMerge w:val="continue"/>
            <w:tcBorders>
              <w:top w:val="nil"/>
              <w:left w:val="single" w:color="auto" w:sz="8" w:space="0"/>
              <w:bottom w:val="single" w:color="000000" w:sz="8" w:space="0"/>
              <w:right w:val="single" w:color="auto" w:sz="4" w:space="0"/>
            </w:tcBorders>
            <w:vAlign w:val="center"/>
          </w:tcPr>
          <w:p>
            <w:pPr>
              <w:widowControl/>
              <w:jc w:val="left"/>
              <w:rPr>
                <w:rFonts w:cs="宋体" w:asciiTheme="minorHAnsi" w:hAnsiTheme="minorHAnsi" w:eastAsiaTheme="minorHAnsi"/>
                <w:color w:val="000000"/>
                <w:kern w:val="0"/>
                <w:sz w:val="22"/>
                <w:szCs w:val="22"/>
              </w:rPr>
            </w:pPr>
          </w:p>
        </w:tc>
        <w:tc>
          <w:tcPr>
            <w:tcW w:w="25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HAnsi" w:hAnsiTheme="minorHAnsi" w:eastAsiaTheme="minorHAnsi"/>
                <w:color w:val="000000"/>
                <w:kern w:val="0"/>
                <w:sz w:val="20"/>
                <w:lang w:val="en-US" w:eastAsia="zh-CN"/>
              </w:rPr>
            </w:pPr>
            <w:r>
              <w:rPr>
                <w:rFonts w:hint="eastAsia" w:cs="宋体" w:asciiTheme="minorHAnsi" w:hAnsiTheme="minorHAnsi" w:eastAsiaTheme="minorHAnsi"/>
                <w:color w:val="000000"/>
                <w:kern w:val="0"/>
                <w:sz w:val="20"/>
                <w:lang w:val="en-US" w:eastAsia="zh-CN"/>
              </w:rPr>
              <w:t>教师教学能力提升</w:t>
            </w:r>
          </w:p>
        </w:tc>
        <w:tc>
          <w:tcPr>
            <w:tcW w:w="4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cs="宋体" w:asciiTheme="minorHAnsi" w:hAnsiTheme="minorHAnsi" w:eastAsiaTheme="minorHAnsi"/>
                <w:color w:val="000000"/>
                <w:kern w:val="0"/>
                <w:sz w:val="20"/>
                <w:lang w:val="en-US" w:eastAsia="zh-CN"/>
              </w:rPr>
            </w:pPr>
            <w:r>
              <w:rPr>
                <w:rFonts w:hint="eastAsia" w:cs="宋体" w:asciiTheme="minorHAnsi" w:hAnsiTheme="minorHAnsi" w:eastAsiaTheme="minorHAnsi"/>
                <w:color w:val="000000"/>
                <w:kern w:val="0"/>
                <w:sz w:val="20"/>
                <w:lang w:val="en-US" w:eastAsia="zh-CN"/>
              </w:rPr>
              <w:t>在课程建设前期、申报环节，提供1次专家从一流课程、课程思政、教学创新大赛的等方面进行指导培训</w:t>
            </w:r>
          </w:p>
        </w:tc>
      </w:tr>
      <w:tr>
        <w:tblPrEx>
          <w:tblCellMar>
            <w:top w:w="0" w:type="dxa"/>
            <w:left w:w="108" w:type="dxa"/>
            <w:bottom w:w="0" w:type="dxa"/>
            <w:right w:w="108" w:type="dxa"/>
          </w:tblCellMar>
        </w:tblPrEx>
        <w:trPr>
          <w:trHeight w:val="691" w:hRule="atLeast"/>
        </w:trPr>
        <w:tc>
          <w:tcPr>
            <w:tcW w:w="936" w:type="dxa"/>
            <w:vMerge w:val="continue"/>
            <w:tcBorders>
              <w:top w:val="nil"/>
              <w:left w:val="single" w:color="auto" w:sz="4" w:space="0"/>
              <w:bottom w:val="single" w:color="000000" w:sz="8" w:space="0"/>
              <w:right w:val="single" w:color="auto" w:sz="8" w:space="0"/>
            </w:tcBorders>
            <w:vAlign w:val="center"/>
          </w:tcPr>
          <w:p>
            <w:pPr>
              <w:widowControl/>
              <w:jc w:val="left"/>
              <w:rPr>
                <w:rFonts w:cs="宋体" w:asciiTheme="minorHAnsi" w:hAnsiTheme="minorHAnsi" w:eastAsiaTheme="minorHAnsi"/>
                <w:color w:val="000000"/>
                <w:kern w:val="0"/>
                <w:sz w:val="22"/>
                <w:szCs w:val="22"/>
              </w:rPr>
            </w:pPr>
          </w:p>
        </w:tc>
        <w:tc>
          <w:tcPr>
            <w:tcW w:w="1726" w:type="dxa"/>
            <w:vMerge w:val="continue"/>
            <w:tcBorders>
              <w:top w:val="nil"/>
              <w:left w:val="single" w:color="auto" w:sz="8" w:space="0"/>
              <w:bottom w:val="single" w:color="000000" w:sz="8" w:space="0"/>
              <w:right w:val="single" w:color="auto" w:sz="4" w:space="0"/>
            </w:tcBorders>
            <w:vAlign w:val="center"/>
          </w:tcPr>
          <w:p>
            <w:pPr>
              <w:widowControl/>
              <w:jc w:val="left"/>
              <w:rPr>
                <w:rFonts w:cs="宋体" w:asciiTheme="minorHAnsi" w:hAnsiTheme="minorHAnsi" w:eastAsiaTheme="minorHAnsi"/>
                <w:color w:val="000000"/>
                <w:kern w:val="0"/>
                <w:sz w:val="22"/>
                <w:szCs w:val="22"/>
              </w:rPr>
            </w:pPr>
          </w:p>
        </w:tc>
        <w:tc>
          <w:tcPr>
            <w:tcW w:w="25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HAnsi" w:hAnsiTheme="minorHAnsi" w:eastAsiaTheme="minorHAnsi"/>
                <w:color w:val="000000"/>
                <w:kern w:val="0"/>
                <w:sz w:val="20"/>
                <w:lang w:val="en-US" w:eastAsia="zh-CN"/>
              </w:rPr>
            </w:pPr>
            <w:r>
              <w:rPr>
                <w:rFonts w:hint="eastAsia" w:cs="宋体" w:asciiTheme="minorHAnsi" w:hAnsiTheme="minorHAnsi" w:eastAsiaTheme="minorHAnsi"/>
                <w:color w:val="000000"/>
                <w:kern w:val="0"/>
                <w:sz w:val="20"/>
                <w:lang w:val="en-US" w:eastAsia="zh-CN"/>
              </w:rPr>
              <w:t>课程建设服务</w:t>
            </w:r>
          </w:p>
        </w:tc>
        <w:tc>
          <w:tcPr>
            <w:tcW w:w="4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HAnsi" w:hAnsiTheme="minorHAnsi" w:eastAsiaTheme="minorHAnsi"/>
                <w:color w:val="000000"/>
                <w:kern w:val="0"/>
                <w:sz w:val="20"/>
                <w:lang w:val="en-US" w:eastAsia="zh-CN"/>
              </w:rPr>
            </w:pPr>
            <w:r>
              <w:rPr>
                <w:rFonts w:hint="eastAsia" w:cs="宋体" w:asciiTheme="minorHAnsi" w:hAnsiTheme="minorHAnsi" w:eastAsiaTheme="minorHAnsi"/>
                <w:color w:val="000000"/>
                <w:kern w:val="0"/>
                <w:sz w:val="20"/>
                <w:lang w:val="en-US" w:eastAsia="zh-CN"/>
              </w:rPr>
              <w:t>按照课程需求，上传资料，设计课程版面，美化课程教学PPT</w:t>
            </w:r>
          </w:p>
        </w:tc>
      </w:tr>
      <w:tr>
        <w:tblPrEx>
          <w:tblCellMar>
            <w:top w:w="0" w:type="dxa"/>
            <w:left w:w="108" w:type="dxa"/>
            <w:bottom w:w="0" w:type="dxa"/>
            <w:right w:w="108" w:type="dxa"/>
          </w:tblCellMar>
        </w:tblPrEx>
        <w:trPr>
          <w:trHeight w:val="709" w:hRule="atLeast"/>
        </w:trPr>
        <w:tc>
          <w:tcPr>
            <w:tcW w:w="936" w:type="dxa"/>
            <w:vMerge w:val="continue"/>
            <w:tcBorders>
              <w:top w:val="nil"/>
              <w:left w:val="single" w:color="auto" w:sz="4" w:space="0"/>
              <w:bottom w:val="single" w:color="auto" w:sz="4" w:space="0"/>
              <w:right w:val="single" w:color="auto" w:sz="8" w:space="0"/>
            </w:tcBorders>
            <w:vAlign w:val="center"/>
          </w:tcPr>
          <w:p>
            <w:pPr>
              <w:widowControl/>
              <w:jc w:val="left"/>
              <w:rPr>
                <w:rFonts w:cs="宋体" w:asciiTheme="minorHAnsi" w:hAnsiTheme="minorHAnsi" w:eastAsiaTheme="minorHAnsi"/>
                <w:color w:val="000000"/>
                <w:kern w:val="0"/>
                <w:sz w:val="22"/>
                <w:szCs w:val="22"/>
              </w:rPr>
            </w:pPr>
          </w:p>
        </w:tc>
        <w:tc>
          <w:tcPr>
            <w:tcW w:w="1726" w:type="dxa"/>
            <w:vMerge w:val="continue"/>
            <w:tcBorders>
              <w:top w:val="nil"/>
              <w:left w:val="single" w:color="auto" w:sz="8" w:space="0"/>
              <w:bottom w:val="single" w:color="auto" w:sz="4" w:space="0"/>
              <w:right w:val="single" w:color="auto" w:sz="4" w:space="0"/>
            </w:tcBorders>
            <w:vAlign w:val="center"/>
          </w:tcPr>
          <w:p>
            <w:pPr>
              <w:widowControl/>
              <w:jc w:val="left"/>
              <w:rPr>
                <w:rFonts w:cs="宋体" w:asciiTheme="minorHAnsi" w:hAnsiTheme="minorHAnsi" w:eastAsiaTheme="minorHAnsi"/>
                <w:color w:val="000000"/>
                <w:kern w:val="0"/>
                <w:sz w:val="22"/>
                <w:szCs w:val="22"/>
              </w:rPr>
            </w:pPr>
          </w:p>
        </w:tc>
        <w:tc>
          <w:tcPr>
            <w:tcW w:w="25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HAnsi" w:hAnsiTheme="minorHAnsi" w:eastAsiaTheme="minorHAnsi"/>
                <w:color w:val="000000"/>
                <w:kern w:val="0"/>
                <w:sz w:val="20"/>
                <w:lang w:val="en-US" w:eastAsia="zh-CN"/>
              </w:rPr>
            </w:pPr>
            <w:r>
              <w:rPr>
                <w:rFonts w:hint="eastAsia" w:cs="宋体" w:asciiTheme="minorHAnsi" w:hAnsiTheme="minorHAnsi" w:eastAsiaTheme="minorHAnsi"/>
                <w:color w:val="000000"/>
                <w:kern w:val="0"/>
                <w:sz w:val="20"/>
                <w:lang w:val="en-US" w:eastAsia="zh-CN"/>
              </w:rPr>
              <w:t>课程运行服务</w:t>
            </w:r>
          </w:p>
        </w:tc>
        <w:tc>
          <w:tcPr>
            <w:tcW w:w="4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cs="宋体" w:asciiTheme="minorHAnsi" w:hAnsiTheme="minorHAnsi" w:eastAsiaTheme="minorHAnsi"/>
                <w:color w:val="000000"/>
                <w:kern w:val="0"/>
                <w:sz w:val="20"/>
                <w:lang w:val="en-US" w:eastAsia="zh-CN"/>
              </w:rPr>
            </w:pPr>
            <w:r>
              <w:rPr>
                <w:rFonts w:hint="eastAsia" w:cs="宋体" w:asciiTheme="minorHAnsi" w:hAnsiTheme="minorHAnsi" w:eastAsiaTheme="minorHAnsi"/>
                <w:color w:val="000000"/>
                <w:kern w:val="0"/>
                <w:sz w:val="20"/>
                <w:lang w:val="en-US" w:eastAsia="zh-CN"/>
              </w:rPr>
              <w:t>按照课程建设标准指定运行课程，优化诊改课程运行数据，课堂教学设计现场服务；提供课程运行数据，提供一流课程案例参考，协助进行各类比赛的运行与申报</w:t>
            </w:r>
          </w:p>
        </w:tc>
      </w:tr>
    </w:tbl>
    <w:p>
      <w:pPr>
        <w:pStyle w:val="17"/>
        <w:keepNext w:val="0"/>
        <w:keepLines w:val="0"/>
        <w:widowControl/>
        <w:numPr>
          <w:ilvl w:val="0"/>
          <w:numId w:val="0"/>
        </w:numPr>
        <w:suppressLineNumbers w:val="0"/>
        <w:spacing w:before="0" w:beforeAutospacing="0" w:after="0" w:afterAutospacing="0"/>
        <w:ind w:right="0" w:rightChars="0"/>
        <w:rPr>
          <w:rFonts w:hint="eastAsia"/>
          <w:lang w:val="en-US" w:eastAsia="zh-CN"/>
        </w:rPr>
      </w:pPr>
    </w:p>
    <w:p>
      <w:pPr>
        <w:pStyle w:val="17"/>
        <w:keepNext w:val="0"/>
        <w:keepLines w:val="0"/>
        <w:widowControl/>
        <w:numPr>
          <w:ilvl w:val="0"/>
          <w:numId w:val="0"/>
        </w:numPr>
        <w:suppressLineNumbers w:val="0"/>
        <w:spacing w:before="0" w:beforeAutospacing="0" w:after="0" w:afterAutospacing="0"/>
        <w:ind w:leftChars="200" w:right="0" w:rightChars="0"/>
      </w:pPr>
      <w:r>
        <w:rPr>
          <w:rFonts w:hint="eastAsia"/>
          <w:lang w:val="en-US" w:eastAsia="zh-CN"/>
        </w:rPr>
        <w:t>5.</w:t>
      </w:r>
      <w:r>
        <w:rPr>
          <w:rFonts w:hint="eastAsia"/>
          <w:lang w:eastAsia="zh-CN"/>
        </w:rPr>
        <w:t>技术服务</w:t>
      </w:r>
      <w:r>
        <w:t>要求</w:t>
      </w:r>
    </w:p>
    <w:tbl>
      <w:tblPr>
        <w:tblStyle w:val="19"/>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7"/>
        <w:gridCol w:w="1715"/>
        <w:gridCol w:w="70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7" w:hRule="atLeast"/>
        </w:trPr>
        <w:tc>
          <w:tcPr>
            <w:tcW w:w="1137" w:type="dxa"/>
            <w:tcBorders>
              <w:top w:val="single" w:color="000000" w:sz="4" w:space="0"/>
              <w:left w:val="single" w:color="000000" w:sz="4" w:space="0"/>
              <w:bottom w:val="single" w:color="000000" w:sz="4" w:space="0"/>
              <w:right w:val="single" w:color="000000" w:sz="4" w:space="0"/>
            </w:tcBorders>
            <w:noWrap w:val="0"/>
            <w:vAlign w:val="top"/>
          </w:tcPr>
          <w:p>
            <w:pPr>
              <w:topLinePunct/>
              <w:ind w:left="108"/>
              <w:jc w:val="center"/>
              <w:rPr>
                <w:rFonts w:hint="eastAsia" w:ascii="宋体" w:hAnsi="宋体" w:cs="宋体"/>
                <w:b/>
                <w:color w:val="000000"/>
                <w:sz w:val="20"/>
                <w:szCs w:val="20"/>
              </w:rPr>
            </w:pPr>
            <w:r>
              <w:rPr>
                <w:rFonts w:hint="eastAsia" w:ascii="宋体" w:hAnsi="宋体" w:cs="宋体"/>
                <w:b/>
                <w:color w:val="000000"/>
                <w:sz w:val="20"/>
                <w:szCs w:val="20"/>
              </w:rPr>
              <w:t>项目名称</w:t>
            </w:r>
          </w:p>
        </w:tc>
        <w:tc>
          <w:tcPr>
            <w:tcW w:w="1715" w:type="dxa"/>
            <w:tcBorders>
              <w:top w:val="single" w:color="000000" w:sz="4" w:space="0"/>
              <w:left w:val="single" w:color="000000" w:sz="4" w:space="0"/>
              <w:bottom w:val="single" w:color="000000" w:sz="4" w:space="0"/>
              <w:right w:val="single" w:color="000000" w:sz="4" w:space="0"/>
            </w:tcBorders>
            <w:noWrap w:val="0"/>
            <w:vAlign w:val="center"/>
          </w:tcPr>
          <w:p>
            <w:pPr>
              <w:topLinePunct/>
              <w:ind w:left="108"/>
              <w:jc w:val="center"/>
              <w:rPr>
                <w:rFonts w:hint="eastAsia" w:ascii="宋体" w:hAnsi="宋体" w:cs="宋体"/>
                <w:b/>
                <w:color w:val="000000"/>
                <w:sz w:val="20"/>
                <w:szCs w:val="20"/>
              </w:rPr>
            </w:pPr>
            <w:r>
              <w:rPr>
                <w:rFonts w:hint="eastAsia" w:ascii="宋体" w:hAnsi="宋体" w:cs="宋体"/>
                <w:b/>
                <w:color w:val="000000"/>
                <w:sz w:val="20"/>
                <w:szCs w:val="20"/>
              </w:rPr>
              <w:t>内容</w:t>
            </w:r>
          </w:p>
        </w:tc>
        <w:tc>
          <w:tcPr>
            <w:tcW w:w="7003" w:type="dxa"/>
            <w:tcBorders>
              <w:top w:val="single" w:color="000000" w:sz="4" w:space="0"/>
              <w:left w:val="single" w:color="000000" w:sz="4" w:space="0"/>
              <w:bottom w:val="single" w:color="000000" w:sz="4" w:space="0"/>
              <w:right w:val="single" w:color="000000" w:sz="4" w:space="0"/>
            </w:tcBorders>
            <w:noWrap w:val="0"/>
            <w:vAlign w:val="center"/>
          </w:tcPr>
          <w:p>
            <w:pPr>
              <w:topLinePunct/>
              <w:ind w:left="108"/>
              <w:jc w:val="center"/>
              <w:rPr>
                <w:rFonts w:hint="eastAsia" w:ascii="宋体" w:hAnsi="宋体" w:cs="宋体"/>
                <w:b/>
                <w:color w:val="000000"/>
                <w:sz w:val="20"/>
                <w:szCs w:val="20"/>
              </w:rPr>
            </w:pPr>
            <w:r>
              <w:rPr>
                <w:rFonts w:hint="eastAsia" w:ascii="宋体" w:hAnsi="宋体" w:cs="宋体"/>
                <w:b/>
                <w:color w:val="000000"/>
                <w:sz w:val="20"/>
                <w:szCs w:val="20"/>
              </w:rPr>
              <w:t>技术规格和配置要求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trPr>
        <w:tc>
          <w:tcPr>
            <w:tcW w:w="1137" w:type="dxa"/>
            <w:vMerge w:val="restart"/>
            <w:tcBorders>
              <w:top w:val="single" w:color="000000" w:sz="4" w:space="0"/>
              <w:left w:val="single" w:color="000000" w:sz="4" w:space="0"/>
              <w:right w:val="single" w:color="000000" w:sz="4" w:space="0"/>
            </w:tcBorders>
            <w:noWrap w:val="0"/>
            <w:vAlign w:val="center"/>
          </w:tcPr>
          <w:p>
            <w:pPr>
              <w:topLinePunct/>
              <w:jc w:val="center"/>
              <w:rPr>
                <w:rStyle w:val="35"/>
                <w:rFonts w:hint="eastAsia" w:ascii="宋体" w:hAnsi="宋体" w:cs="宋体"/>
                <w:b/>
                <w:bCs/>
                <w:kern w:val="0"/>
                <w:sz w:val="20"/>
                <w:szCs w:val="20"/>
                <w:lang w:bidi="ne-NP"/>
              </w:rPr>
            </w:pPr>
            <w:r>
              <w:rPr>
                <w:rFonts w:hint="eastAsia" w:cs="宋体" w:asciiTheme="minorHAnsi" w:hAnsiTheme="minorHAnsi" w:eastAsiaTheme="minorHAnsi"/>
                <w:color w:val="000000"/>
                <w:kern w:val="0"/>
                <w:sz w:val="20"/>
                <w:szCs w:val="20"/>
              </w:rPr>
              <w:t>《社区康复学》和《康复心理学》混合式课程</w:t>
            </w:r>
            <w:r>
              <w:rPr>
                <w:rFonts w:hint="eastAsia" w:cs="宋体" w:asciiTheme="minorHAnsi" w:hAnsiTheme="minorHAnsi" w:eastAsiaTheme="minorHAnsi"/>
                <w:color w:val="000000"/>
                <w:kern w:val="0"/>
                <w:sz w:val="20"/>
                <w:szCs w:val="20"/>
                <w:lang w:val="en-US" w:eastAsia="zh-CN"/>
              </w:rPr>
              <w:t>建设及运行服务</w:t>
            </w:r>
          </w:p>
        </w:tc>
        <w:tc>
          <w:tcPr>
            <w:tcW w:w="1715" w:type="dxa"/>
            <w:vMerge w:val="restart"/>
            <w:tcBorders>
              <w:top w:val="single" w:color="000000" w:sz="4" w:space="0"/>
              <w:left w:val="single" w:color="000000" w:sz="4" w:space="0"/>
              <w:right w:val="single" w:color="000000" w:sz="4" w:space="0"/>
            </w:tcBorders>
            <w:noWrap w:val="0"/>
            <w:vAlign w:val="center"/>
          </w:tcPr>
          <w:p>
            <w:pPr>
              <w:topLinePunct/>
              <w:ind w:left="108"/>
              <w:jc w:val="center"/>
              <w:rPr>
                <w:rStyle w:val="35"/>
                <w:rFonts w:hint="eastAsia" w:ascii="宋体" w:hAnsi="宋体" w:cs="宋体"/>
                <w:b/>
                <w:bCs/>
                <w:kern w:val="0"/>
                <w:sz w:val="20"/>
                <w:szCs w:val="20"/>
                <w:lang w:bidi="ne-NP"/>
              </w:rPr>
            </w:pPr>
            <w:r>
              <w:rPr>
                <w:rFonts w:hint="eastAsia" w:ascii="宋体" w:hAnsi="宋体" w:eastAsia="宋体" w:cs="宋体"/>
                <w:i w:val="0"/>
                <w:iCs w:val="0"/>
                <w:color w:val="000000"/>
                <w:kern w:val="0"/>
                <w:sz w:val="20"/>
                <w:szCs w:val="20"/>
                <w:u w:val="none"/>
                <w:lang w:val="en-US" w:eastAsia="zh-CN" w:bidi="ar"/>
              </w:rPr>
              <w:t>慕课拍摄制作</w:t>
            </w:r>
          </w:p>
        </w:tc>
        <w:tc>
          <w:tcPr>
            <w:tcW w:w="7003" w:type="dxa"/>
            <w:tcBorders>
              <w:top w:val="single" w:color="000000" w:sz="4" w:space="0"/>
              <w:left w:val="single" w:color="000000" w:sz="4" w:space="0"/>
              <w:bottom w:val="single" w:color="000000" w:sz="4" w:space="0"/>
              <w:right w:val="single" w:color="000000" w:sz="4" w:space="0"/>
            </w:tcBorders>
            <w:noWrap w:val="0"/>
            <w:vAlign w:val="center"/>
          </w:tcPr>
          <w:p>
            <w:pPr>
              <w:topLinePunct/>
              <w:ind w:left="108"/>
              <w:jc w:val="left"/>
              <w:rPr>
                <w:rFonts w:hint="eastAsia" w:ascii="宋体" w:hAnsi="宋体" w:cs="宋体"/>
                <w:b/>
                <w:bCs/>
                <w:sz w:val="20"/>
                <w:szCs w:val="20"/>
              </w:rPr>
            </w:pPr>
            <w:r>
              <w:rPr>
                <w:rFonts w:hint="eastAsia" w:ascii="宋体" w:hAnsi="宋体" w:cs="宋体"/>
                <w:b/>
                <w:bCs/>
                <w:sz w:val="20"/>
                <w:szCs w:val="20"/>
              </w:rPr>
              <w:t>课程整体设计要求</w:t>
            </w:r>
          </w:p>
          <w:p>
            <w:pPr>
              <w:topLinePunct/>
              <w:ind w:left="108"/>
              <w:jc w:val="left"/>
              <w:rPr>
                <w:rStyle w:val="35"/>
                <w:rFonts w:hint="eastAsia" w:ascii="宋体" w:hAnsi="宋体" w:cs="宋体"/>
                <w:b/>
                <w:bCs/>
                <w:kern w:val="0"/>
                <w:sz w:val="20"/>
                <w:szCs w:val="20"/>
                <w:lang w:bidi="ne-NP"/>
              </w:rPr>
            </w:pPr>
            <w:r>
              <w:rPr>
                <w:rFonts w:hint="eastAsia" w:ascii="宋体" w:hAnsi="宋体" w:cs="宋体"/>
                <w:sz w:val="20"/>
                <w:szCs w:val="20"/>
              </w:rPr>
              <w:t>制作方了解高校本科教学规律，具备课程设计的能力，有专业人员辅助老师进行课程教学设计、课件设计。课程设计围绕教学目标、教学内容、组织实施和多元评价需求进行整体规划，教学方法、教学过程、教学评价等设计合理。 视频制作公司必须在课程视频制作过程中，为教学团队提供课程制作及运行的相关培训服务。每门课程有对应课程顾问，为教学团队提供如课程建设学习培训、咨询，以及包括课程背景、课程目标、设计原则、学时学分分配、翻转课堂设计、章节脚本设计等与课程建设相关的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trPr>
        <w:tc>
          <w:tcPr>
            <w:tcW w:w="1137" w:type="dxa"/>
            <w:vMerge w:val="continue"/>
            <w:tcBorders>
              <w:left w:val="single" w:color="000000" w:sz="4" w:space="0"/>
              <w:right w:val="single" w:color="000000" w:sz="4" w:space="0"/>
            </w:tcBorders>
            <w:noWrap w:val="0"/>
            <w:vAlign w:val="center"/>
          </w:tcPr>
          <w:p>
            <w:pPr>
              <w:topLinePunct/>
              <w:jc w:val="center"/>
              <w:rPr>
                <w:rFonts w:hint="eastAsia" w:cs="宋体" w:asciiTheme="minorHAnsi" w:hAnsiTheme="minorHAnsi" w:eastAsiaTheme="minorHAnsi"/>
                <w:color w:val="000000"/>
                <w:kern w:val="0"/>
                <w:sz w:val="20"/>
                <w:szCs w:val="20"/>
              </w:rPr>
            </w:pPr>
          </w:p>
        </w:tc>
        <w:tc>
          <w:tcPr>
            <w:tcW w:w="1715" w:type="dxa"/>
            <w:vMerge w:val="continue"/>
            <w:tcBorders>
              <w:left w:val="single" w:color="000000" w:sz="4" w:space="0"/>
              <w:right w:val="single" w:color="000000" w:sz="4" w:space="0"/>
            </w:tcBorders>
            <w:noWrap w:val="0"/>
            <w:vAlign w:val="center"/>
          </w:tcPr>
          <w:p>
            <w:pPr>
              <w:topLinePunct/>
              <w:ind w:left="108"/>
              <w:jc w:val="center"/>
              <w:rPr>
                <w:rFonts w:hint="eastAsia" w:ascii="宋体" w:hAnsi="宋体" w:eastAsia="宋体" w:cs="宋体"/>
                <w:i w:val="0"/>
                <w:iCs w:val="0"/>
                <w:color w:val="000000"/>
                <w:kern w:val="0"/>
                <w:sz w:val="20"/>
                <w:szCs w:val="20"/>
                <w:u w:val="none"/>
                <w:lang w:val="en-US" w:eastAsia="zh-CN" w:bidi="ar"/>
              </w:rPr>
            </w:pPr>
          </w:p>
        </w:tc>
        <w:tc>
          <w:tcPr>
            <w:tcW w:w="7003" w:type="dxa"/>
            <w:tcBorders>
              <w:top w:val="single" w:color="000000" w:sz="4" w:space="0"/>
              <w:left w:val="single" w:color="000000" w:sz="4" w:space="0"/>
              <w:bottom w:val="single" w:color="000000" w:sz="4" w:space="0"/>
              <w:right w:val="single" w:color="000000" w:sz="4" w:space="0"/>
            </w:tcBorders>
            <w:noWrap w:val="0"/>
            <w:vAlign w:val="center"/>
          </w:tcPr>
          <w:p>
            <w:pPr>
              <w:topLinePunct/>
              <w:ind w:left="108"/>
              <w:jc w:val="left"/>
              <w:rPr>
                <w:rFonts w:hint="eastAsia" w:ascii="宋体" w:hAnsi="宋体" w:cs="宋体"/>
                <w:b/>
                <w:bCs/>
                <w:sz w:val="20"/>
                <w:szCs w:val="20"/>
              </w:rPr>
            </w:pPr>
            <w:r>
              <w:rPr>
                <w:rFonts w:hint="eastAsia" w:ascii="宋体" w:hAnsi="宋体" w:cs="宋体"/>
                <w:b/>
                <w:bCs/>
                <w:sz w:val="20"/>
                <w:szCs w:val="20"/>
              </w:rPr>
              <w:t>课程设计服务</w:t>
            </w:r>
          </w:p>
          <w:p>
            <w:pPr>
              <w:topLinePunct/>
              <w:ind w:left="108"/>
              <w:jc w:val="left"/>
              <w:rPr>
                <w:rFonts w:hint="eastAsia" w:ascii="宋体" w:hAnsi="宋体" w:cs="宋体"/>
                <w:sz w:val="20"/>
                <w:szCs w:val="20"/>
              </w:rPr>
            </w:pPr>
            <w:r>
              <w:rPr>
                <w:rFonts w:hint="eastAsia" w:ascii="宋体" w:hAnsi="宋体" w:cs="宋体"/>
                <w:sz w:val="20"/>
                <w:szCs w:val="20"/>
              </w:rPr>
              <w:t>需有专业人员协助课程教师团队进行课程培训，专业课程编导协助课程顾问与老师深度沟通，收集课程相关资料。协助老师完成PPT、讲稿，根据讲稿进行详细拆分，具有完整的教学逻辑关系，易于学习者理解和记忆。保障各项教学活动完整、有效，按计划实施，师生互动充分，能有效促进师生之间、学生之间进行资源共享、互动交流和自主式与协作式学习，保证线上线下应用结合效果较好，能切实提高教学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trPr>
        <w:tc>
          <w:tcPr>
            <w:tcW w:w="1137" w:type="dxa"/>
            <w:vMerge w:val="continue"/>
            <w:tcBorders>
              <w:left w:val="single" w:color="000000" w:sz="4" w:space="0"/>
              <w:right w:val="single" w:color="000000" w:sz="4" w:space="0"/>
            </w:tcBorders>
            <w:noWrap w:val="0"/>
            <w:vAlign w:val="center"/>
          </w:tcPr>
          <w:p>
            <w:pPr>
              <w:topLinePunct/>
              <w:jc w:val="center"/>
              <w:rPr>
                <w:rFonts w:hint="eastAsia" w:cs="宋体" w:asciiTheme="minorHAnsi" w:hAnsiTheme="minorHAnsi" w:eastAsiaTheme="minorHAnsi"/>
                <w:color w:val="000000"/>
                <w:kern w:val="0"/>
                <w:sz w:val="20"/>
                <w:szCs w:val="20"/>
              </w:rPr>
            </w:pPr>
          </w:p>
        </w:tc>
        <w:tc>
          <w:tcPr>
            <w:tcW w:w="1715" w:type="dxa"/>
            <w:vMerge w:val="continue"/>
            <w:tcBorders>
              <w:left w:val="single" w:color="000000" w:sz="4" w:space="0"/>
              <w:right w:val="single" w:color="000000" w:sz="4" w:space="0"/>
            </w:tcBorders>
            <w:noWrap w:val="0"/>
            <w:vAlign w:val="center"/>
          </w:tcPr>
          <w:p>
            <w:pPr>
              <w:topLinePunct/>
              <w:ind w:left="108"/>
              <w:jc w:val="center"/>
              <w:rPr>
                <w:rFonts w:hint="eastAsia" w:ascii="宋体" w:hAnsi="宋体" w:eastAsia="宋体" w:cs="宋体"/>
                <w:i w:val="0"/>
                <w:iCs w:val="0"/>
                <w:color w:val="000000"/>
                <w:kern w:val="0"/>
                <w:sz w:val="20"/>
                <w:szCs w:val="20"/>
                <w:u w:val="none"/>
                <w:lang w:val="en-US" w:eastAsia="zh-CN" w:bidi="ar"/>
              </w:rPr>
            </w:pPr>
          </w:p>
        </w:tc>
        <w:tc>
          <w:tcPr>
            <w:tcW w:w="7003" w:type="dxa"/>
            <w:tcBorders>
              <w:top w:val="single" w:color="000000" w:sz="4" w:space="0"/>
              <w:left w:val="single" w:color="000000" w:sz="4" w:space="0"/>
              <w:bottom w:val="single" w:color="000000" w:sz="4" w:space="0"/>
              <w:right w:val="single" w:color="000000" w:sz="4" w:space="0"/>
            </w:tcBorders>
            <w:noWrap w:val="0"/>
            <w:vAlign w:val="center"/>
          </w:tcPr>
          <w:p>
            <w:pPr>
              <w:topLinePunct/>
              <w:ind w:left="108"/>
              <w:jc w:val="left"/>
              <w:rPr>
                <w:rFonts w:hint="default" w:ascii="宋体" w:hAnsi="宋体" w:cs="宋体"/>
                <w:b/>
                <w:bCs/>
                <w:sz w:val="20"/>
                <w:szCs w:val="20"/>
                <w:lang w:val="en-US" w:eastAsia="zh-CN"/>
              </w:rPr>
            </w:pPr>
            <w:r>
              <w:rPr>
                <w:rFonts w:hint="eastAsia" w:ascii="宋体" w:hAnsi="宋体" w:cs="宋体"/>
                <w:b/>
                <w:bCs/>
                <w:sz w:val="20"/>
                <w:szCs w:val="20"/>
                <w:lang w:val="en-US" w:eastAsia="zh-CN"/>
              </w:rPr>
              <w:t>教学内容</w:t>
            </w:r>
          </w:p>
          <w:p>
            <w:pPr>
              <w:snapToGrid w:val="0"/>
              <w:rPr>
                <w:rFonts w:hint="eastAsia" w:ascii="宋体" w:hAnsi="宋体" w:cs="宋体"/>
                <w:sz w:val="20"/>
                <w:szCs w:val="20"/>
              </w:rPr>
            </w:pPr>
            <w:r>
              <w:rPr>
                <w:rFonts w:hint="eastAsia" w:ascii="宋体" w:hAnsi="宋体" w:cs="宋体"/>
                <w:sz w:val="20"/>
                <w:szCs w:val="20"/>
              </w:rPr>
              <w:t>根据教学目标和课程特点，重组教学内容与资源，建立以知识点为基本教学要素的知识框架；教学内容准备，数据和资料引用规范严谨。</w:t>
            </w:r>
          </w:p>
          <w:p>
            <w:pPr>
              <w:snapToGrid w:val="0"/>
              <w:rPr>
                <w:rFonts w:hint="eastAsia" w:ascii="宋体" w:hAnsi="宋体" w:cs="宋体"/>
                <w:sz w:val="20"/>
                <w:szCs w:val="20"/>
              </w:rPr>
            </w:pPr>
            <w:r>
              <w:rPr>
                <w:rFonts w:hint="eastAsia" w:ascii="宋体" w:hAnsi="宋体" w:cs="宋体"/>
                <w:sz w:val="20"/>
                <w:szCs w:val="20"/>
              </w:rPr>
              <w:t>教学内容重组，顾问协助教师进行课程知识点划分，梳理课程知识点（线上，线下部分）形成章节表，</w:t>
            </w:r>
          </w:p>
          <w:p>
            <w:pPr>
              <w:topLinePunct/>
              <w:jc w:val="left"/>
              <w:rPr>
                <w:rFonts w:hint="eastAsia" w:ascii="宋体" w:hAnsi="宋体" w:cs="宋体"/>
                <w:sz w:val="20"/>
                <w:szCs w:val="20"/>
              </w:rPr>
            </w:pPr>
            <w:r>
              <w:rPr>
                <w:rFonts w:hint="eastAsia" w:ascii="宋体" w:hAnsi="宋体" w:cs="宋体"/>
                <w:sz w:val="20"/>
                <w:szCs w:val="20"/>
              </w:rPr>
              <w:t>课程内容结构符合学生成长规律，依据学科前沿动态与社会发展需求动态更新知识体系，契合课程目标，教材选用符合教育部和学校教材选用规定，教学资源丰富多样，体现思想性、科学性与时代性。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trPr>
        <w:tc>
          <w:tcPr>
            <w:tcW w:w="1137" w:type="dxa"/>
            <w:vMerge w:val="continue"/>
            <w:tcBorders>
              <w:left w:val="single" w:color="000000" w:sz="4" w:space="0"/>
              <w:right w:val="single" w:color="000000" w:sz="4" w:space="0"/>
            </w:tcBorders>
            <w:noWrap w:val="0"/>
            <w:vAlign w:val="center"/>
          </w:tcPr>
          <w:p>
            <w:pPr>
              <w:topLinePunct/>
              <w:jc w:val="center"/>
              <w:rPr>
                <w:rFonts w:hint="eastAsia" w:cs="宋体" w:asciiTheme="minorHAnsi" w:hAnsiTheme="minorHAnsi" w:eastAsiaTheme="minorHAnsi"/>
                <w:color w:val="000000"/>
                <w:kern w:val="0"/>
                <w:sz w:val="20"/>
                <w:szCs w:val="20"/>
              </w:rPr>
            </w:pPr>
          </w:p>
        </w:tc>
        <w:tc>
          <w:tcPr>
            <w:tcW w:w="1715" w:type="dxa"/>
            <w:vMerge w:val="continue"/>
            <w:tcBorders>
              <w:left w:val="single" w:color="000000" w:sz="4" w:space="0"/>
              <w:right w:val="single" w:color="000000" w:sz="4" w:space="0"/>
            </w:tcBorders>
            <w:noWrap w:val="0"/>
            <w:vAlign w:val="center"/>
          </w:tcPr>
          <w:p>
            <w:pPr>
              <w:topLinePunct/>
              <w:ind w:left="108"/>
              <w:jc w:val="center"/>
              <w:rPr>
                <w:rFonts w:hint="eastAsia" w:ascii="宋体" w:hAnsi="宋体" w:eastAsia="宋体" w:cs="宋体"/>
                <w:i w:val="0"/>
                <w:iCs w:val="0"/>
                <w:color w:val="000000"/>
                <w:kern w:val="0"/>
                <w:sz w:val="20"/>
                <w:szCs w:val="20"/>
                <w:u w:val="none"/>
                <w:lang w:val="en-US" w:eastAsia="zh-CN" w:bidi="ar"/>
              </w:rPr>
            </w:pPr>
          </w:p>
        </w:tc>
        <w:tc>
          <w:tcPr>
            <w:tcW w:w="7003" w:type="dxa"/>
            <w:tcBorders>
              <w:top w:val="single" w:color="000000" w:sz="4" w:space="0"/>
              <w:left w:val="single" w:color="000000" w:sz="4" w:space="0"/>
              <w:bottom w:val="single" w:color="000000" w:sz="4" w:space="0"/>
              <w:right w:val="single" w:color="000000" w:sz="4" w:space="0"/>
            </w:tcBorders>
            <w:noWrap w:val="0"/>
            <w:vAlign w:val="center"/>
          </w:tcPr>
          <w:p>
            <w:pPr>
              <w:rPr>
                <w:rStyle w:val="36"/>
                <w:rFonts w:hint="eastAsia" w:ascii="宋体" w:hAnsi="宋体" w:cs="宋体"/>
                <w:b/>
                <w:bCs/>
                <w:sz w:val="20"/>
                <w:szCs w:val="20"/>
              </w:rPr>
            </w:pPr>
            <w:r>
              <w:rPr>
                <w:rFonts w:hint="eastAsia" w:ascii="宋体" w:hAnsi="宋体" w:cs="宋体"/>
                <w:b/>
                <w:bCs/>
                <w:sz w:val="20"/>
                <w:szCs w:val="20"/>
              </w:rPr>
              <w:t>教学设计与方法</w:t>
            </w:r>
          </w:p>
          <w:p>
            <w:pPr>
              <w:rPr>
                <w:rStyle w:val="36"/>
                <w:rFonts w:hint="eastAsia" w:ascii="宋体" w:hAnsi="宋体" w:cs="宋体"/>
                <w:sz w:val="20"/>
                <w:szCs w:val="20"/>
              </w:rPr>
            </w:pPr>
            <w:r>
              <w:rPr>
                <w:rStyle w:val="36"/>
                <w:rFonts w:hint="eastAsia" w:ascii="宋体" w:hAnsi="宋体" w:cs="宋体"/>
                <w:sz w:val="20"/>
                <w:szCs w:val="20"/>
              </w:rPr>
              <w:t>有专业人员协助课程教师团队把握一流课程教学特点，运用系统方法开展教学设计，综合运用情景式、启发式、案例式等教学方法，教学呈现形式多样。</w:t>
            </w:r>
          </w:p>
          <w:p>
            <w:pPr>
              <w:rPr>
                <w:rStyle w:val="36"/>
                <w:rFonts w:hint="eastAsia" w:ascii="宋体" w:hAnsi="宋体" w:cs="宋体"/>
                <w:sz w:val="20"/>
                <w:szCs w:val="20"/>
              </w:rPr>
            </w:pPr>
            <w:r>
              <w:rPr>
                <w:rStyle w:val="36"/>
                <w:rFonts w:hint="eastAsia" w:ascii="宋体" w:hAnsi="宋体" w:cs="宋体"/>
                <w:sz w:val="20"/>
                <w:szCs w:val="20"/>
              </w:rPr>
              <w:t>（1）课程设计思路：确定课程内容框架，课程设计由传统课程的学科知识体系，从书本第一页到最后一页进行“单线程”教学这种模式转变为混合教学模式。结合学校的办学理念和人才培养方案，课程设计整体增加研究性、创新性、综合性内容，增加课程挑战度。</w:t>
            </w:r>
          </w:p>
          <w:p>
            <w:pPr>
              <w:topLinePunct/>
              <w:ind w:left="108"/>
              <w:jc w:val="left"/>
              <w:rPr>
                <w:rFonts w:hint="eastAsia" w:ascii="宋体" w:hAnsi="宋体" w:cs="宋体"/>
                <w:sz w:val="20"/>
                <w:szCs w:val="20"/>
              </w:rPr>
            </w:pPr>
            <w:r>
              <w:rPr>
                <w:rStyle w:val="36"/>
                <w:rFonts w:hint="eastAsia" w:ascii="宋体" w:hAnsi="宋体" w:cs="宋体"/>
                <w:sz w:val="20"/>
                <w:szCs w:val="20"/>
              </w:rPr>
              <w:t>（2）课程宣传词：协助教师团队完成课程宣传词，体现课程内涵和使命，用做课程片头，样片制作及课程宣传。展示课程的总体差异化特征。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trPr>
        <w:tc>
          <w:tcPr>
            <w:tcW w:w="1137" w:type="dxa"/>
            <w:vMerge w:val="continue"/>
            <w:tcBorders>
              <w:left w:val="single" w:color="000000" w:sz="4" w:space="0"/>
              <w:right w:val="single" w:color="000000" w:sz="4" w:space="0"/>
            </w:tcBorders>
            <w:noWrap w:val="0"/>
            <w:vAlign w:val="center"/>
          </w:tcPr>
          <w:p>
            <w:pPr>
              <w:topLinePunct/>
              <w:jc w:val="center"/>
              <w:rPr>
                <w:rFonts w:hint="eastAsia" w:cs="宋体" w:asciiTheme="minorHAnsi" w:hAnsiTheme="minorHAnsi" w:eastAsiaTheme="minorHAnsi"/>
                <w:color w:val="000000"/>
                <w:kern w:val="0"/>
                <w:sz w:val="20"/>
                <w:szCs w:val="20"/>
              </w:rPr>
            </w:pPr>
          </w:p>
        </w:tc>
        <w:tc>
          <w:tcPr>
            <w:tcW w:w="1715" w:type="dxa"/>
            <w:vMerge w:val="continue"/>
            <w:tcBorders>
              <w:left w:val="single" w:color="000000" w:sz="4" w:space="0"/>
              <w:right w:val="single" w:color="000000" w:sz="4" w:space="0"/>
            </w:tcBorders>
            <w:noWrap w:val="0"/>
            <w:vAlign w:val="center"/>
          </w:tcPr>
          <w:p>
            <w:pPr>
              <w:topLinePunct/>
              <w:ind w:left="108"/>
              <w:jc w:val="center"/>
              <w:rPr>
                <w:rFonts w:hint="eastAsia" w:ascii="宋体" w:hAnsi="宋体" w:eastAsia="宋体" w:cs="宋体"/>
                <w:i w:val="0"/>
                <w:iCs w:val="0"/>
                <w:color w:val="000000"/>
                <w:kern w:val="0"/>
                <w:sz w:val="20"/>
                <w:szCs w:val="20"/>
                <w:u w:val="none"/>
                <w:lang w:val="en-US" w:eastAsia="zh-CN" w:bidi="ar"/>
              </w:rPr>
            </w:pPr>
          </w:p>
        </w:tc>
        <w:tc>
          <w:tcPr>
            <w:tcW w:w="7003" w:type="dxa"/>
            <w:tcBorders>
              <w:top w:val="single" w:color="000000" w:sz="4" w:space="0"/>
              <w:left w:val="single" w:color="000000" w:sz="4" w:space="0"/>
              <w:bottom w:val="single" w:color="000000" w:sz="4" w:space="0"/>
              <w:right w:val="single" w:color="000000" w:sz="4" w:space="0"/>
            </w:tcBorders>
            <w:noWrap w:val="0"/>
            <w:vAlign w:val="center"/>
          </w:tcPr>
          <w:p>
            <w:pPr>
              <w:topLinePunct/>
              <w:ind w:left="108"/>
              <w:jc w:val="left"/>
              <w:rPr>
                <w:rStyle w:val="36"/>
                <w:rFonts w:hint="eastAsia" w:ascii="宋体" w:hAnsi="宋体" w:cs="宋体" w:eastAsiaTheme="minorEastAsia"/>
                <w:b/>
                <w:bCs/>
                <w:sz w:val="20"/>
                <w:szCs w:val="20"/>
                <w:lang w:val="en-US" w:eastAsia="zh-CN"/>
              </w:rPr>
            </w:pPr>
            <w:r>
              <w:rPr>
                <w:rStyle w:val="36"/>
                <w:rFonts w:hint="eastAsia" w:ascii="宋体" w:hAnsi="宋体" w:cs="宋体" w:eastAsiaTheme="minorEastAsia"/>
                <w:b/>
                <w:bCs/>
                <w:sz w:val="20"/>
                <w:szCs w:val="20"/>
                <w:lang w:val="en-US" w:eastAsia="zh-CN"/>
              </w:rPr>
              <w:t>讲稿设计</w:t>
            </w:r>
          </w:p>
          <w:p>
            <w:pPr>
              <w:topLinePunct/>
              <w:ind w:left="108"/>
              <w:jc w:val="left"/>
              <w:rPr>
                <w:rFonts w:hint="eastAsia" w:eastAsiaTheme="minorEastAsia"/>
                <w:sz w:val="20"/>
                <w:szCs w:val="20"/>
                <w:lang w:val="en-US" w:eastAsia="zh-CN"/>
              </w:rPr>
            </w:pPr>
            <w:r>
              <w:rPr>
                <w:rStyle w:val="36"/>
                <w:rFonts w:hint="eastAsia" w:ascii="宋体" w:hAnsi="宋体" w:cs="宋体" w:eastAsiaTheme="minorEastAsia"/>
                <w:sz w:val="20"/>
                <w:szCs w:val="20"/>
              </w:rPr>
              <w:t>教师团队根据线上课程设计拆分成的教学内容，提供线上每个知识点讲稿初稿及PPT，顾问团队按照课程制作标准进行讲稿PPT审核，直至讲稿定稿后再进入拍摄环节</w:t>
            </w:r>
            <w:r>
              <w:rPr>
                <w:rStyle w:val="36"/>
                <w:rFonts w:hint="eastAsia" w:ascii="宋体" w:hAnsi="宋体" w:cs="宋体" w:eastAsiaTheme="minorEastAsia"/>
                <w:sz w:val="20"/>
                <w:szCs w:val="20"/>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trPr>
        <w:tc>
          <w:tcPr>
            <w:tcW w:w="1137" w:type="dxa"/>
            <w:vMerge w:val="continue"/>
            <w:tcBorders>
              <w:left w:val="single" w:color="000000" w:sz="4" w:space="0"/>
              <w:right w:val="single" w:color="000000" w:sz="4" w:space="0"/>
            </w:tcBorders>
            <w:noWrap w:val="0"/>
            <w:vAlign w:val="top"/>
          </w:tcPr>
          <w:p>
            <w:pPr>
              <w:topLinePunct/>
              <w:ind w:left="108"/>
              <w:jc w:val="center"/>
              <w:rPr>
                <w:rStyle w:val="35"/>
                <w:rFonts w:hint="eastAsia" w:ascii="宋体" w:hAnsi="宋体" w:cs="宋体"/>
                <w:b/>
                <w:bCs/>
                <w:kern w:val="0"/>
                <w:sz w:val="20"/>
                <w:szCs w:val="20"/>
                <w:lang w:bidi="ne-NP"/>
              </w:rPr>
            </w:pPr>
          </w:p>
        </w:tc>
        <w:tc>
          <w:tcPr>
            <w:tcW w:w="1715" w:type="dxa"/>
            <w:vMerge w:val="continue"/>
            <w:tcBorders>
              <w:left w:val="single" w:color="000000" w:sz="4" w:space="0"/>
              <w:bottom w:val="single" w:color="000000" w:sz="4" w:space="0"/>
              <w:right w:val="single" w:color="000000" w:sz="4" w:space="0"/>
            </w:tcBorders>
            <w:noWrap w:val="0"/>
            <w:vAlign w:val="center"/>
          </w:tcPr>
          <w:p>
            <w:pPr>
              <w:topLinePunct/>
              <w:ind w:left="108"/>
              <w:jc w:val="center"/>
              <w:rPr>
                <w:rStyle w:val="35"/>
                <w:rFonts w:hint="eastAsia" w:ascii="宋体" w:hAnsi="宋体" w:cs="宋体"/>
                <w:b/>
                <w:bCs/>
                <w:kern w:val="0"/>
                <w:sz w:val="20"/>
                <w:szCs w:val="20"/>
                <w:lang w:bidi="ne-NP"/>
              </w:rPr>
            </w:pPr>
          </w:p>
        </w:tc>
        <w:tc>
          <w:tcPr>
            <w:tcW w:w="7003" w:type="dxa"/>
            <w:tcBorders>
              <w:top w:val="single" w:color="000000" w:sz="4" w:space="0"/>
              <w:left w:val="single" w:color="000000" w:sz="4" w:space="0"/>
              <w:bottom w:val="single" w:color="000000" w:sz="4" w:space="0"/>
              <w:right w:val="single" w:color="000000" w:sz="4" w:space="0"/>
            </w:tcBorders>
            <w:noWrap w:val="0"/>
            <w:vAlign w:val="top"/>
          </w:tcPr>
          <w:p>
            <w:pPr>
              <w:rPr>
                <w:rStyle w:val="36"/>
                <w:rFonts w:hint="eastAsia" w:ascii="宋体" w:hAnsi="宋体" w:cs="宋体"/>
                <w:b/>
                <w:bCs/>
                <w:sz w:val="20"/>
                <w:szCs w:val="20"/>
              </w:rPr>
            </w:pPr>
            <w:r>
              <w:rPr>
                <w:rStyle w:val="36"/>
                <w:rFonts w:hint="eastAsia" w:ascii="宋体" w:hAnsi="宋体" w:cs="宋体"/>
                <w:b/>
                <w:bCs/>
                <w:sz w:val="20"/>
                <w:szCs w:val="20"/>
              </w:rPr>
              <w:t>一、拍摄人员配备要求</w:t>
            </w:r>
          </w:p>
          <w:p>
            <w:pPr>
              <w:rPr>
                <w:rStyle w:val="36"/>
                <w:rFonts w:hint="eastAsia" w:ascii="宋体" w:hAnsi="宋体" w:cs="宋体"/>
                <w:sz w:val="20"/>
                <w:szCs w:val="20"/>
              </w:rPr>
            </w:pPr>
            <w:r>
              <w:rPr>
                <w:rStyle w:val="36"/>
                <w:rFonts w:hint="eastAsia" w:ascii="宋体" w:hAnsi="宋体" w:cs="宋体"/>
                <w:sz w:val="20"/>
                <w:szCs w:val="20"/>
              </w:rPr>
              <w:t>1、精品在线开放课程团队建设：除投标单位专业人员外，必须包括精品在线开放课程的建设团队成员共同组成。</w:t>
            </w:r>
          </w:p>
          <w:p>
            <w:pPr>
              <w:rPr>
                <w:rStyle w:val="36"/>
                <w:rFonts w:hint="eastAsia" w:ascii="宋体" w:hAnsi="宋体" w:cs="宋体"/>
                <w:sz w:val="20"/>
                <w:szCs w:val="20"/>
              </w:rPr>
            </w:pPr>
            <w:r>
              <w:rPr>
                <w:rStyle w:val="36"/>
                <w:rFonts w:hint="eastAsia" w:ascii="宋体" w:hAnsi="宋体" w:cs="宋体"/>
                <w:sz w:val="20"/>
                <w:szCs w:val="20"/>
              </w:rPr>
              <w:t>2、精品在线开放课程编导：与老师深度沟通，收集材料，起草精品在线开放课程脚本、拟定分组镜头大纲</w:t>
            </w:r>
          </w:p>
          <w:p>
            <w:pPr>
              <w:rPr>
                <w:rStyle w:val="36"/>
                <w:rFonts w:hint="eastAsia" w:ascii="宋体" w:hAnsi="宋体" w:cs="宋体"/>
                <w:b/>
                <w:bCs/>
                <w:sz w:val="20"/>
                <w:szCs w:val="20"/>
              </w:rPr>
            </w:pPr>
            <w:r>
              <w:rPr>
                <w:rStyle w:val="36"/>
                <w:rFonts w:hint="eastAsia" w:ascii="宋体" w:hAnsi="宋体" w:cs="宋体"/>
                <w:b/>
                <w:bCs/>
                <w:sz w:val="20"/>
                <w:szCs w:val="20"/>
              </w:rPr>
              <w:t>二、机位设定及设备</w:t>
            </w:r>
          </w:p>
          <w:p>
            <w:pPr>
              <w:snapToGrid w:val="0"/>
              <w:rPr>
                <w:rFonts w:hint="eastAsia" w:ascii="宋体" w:hAnsi="宋体" w:cs="宋体"/>
                <w:sz w:val="20"/>
                <w:szCs w:val="20"/>
                <w:lang w:val="en-US" w:eastAsia="zh-CN" w:bidi="ne-NP"/>
              </w:rPr>
            </w:pPr>
            <w:r>
              <w:rPr>
                <w:rFonts w:hint="eastAsia" w:ascii="宋体" w:hAnsi="宋体" w:cs="宋体"/>
                <w:sz w:val="20"/>
                <w:szCs w:val="20"/>
                <w:lang w:val="en-US" w:eastAsia="zh-CN" w:bidi="ne-NP"/>
              </w:rPr>
              <w:t>双机位专业高清摄像机，摄像机拍摄时采用分辨率为1980*1080，录像视频宽16:9帧率设定为25 帧；拍摄设备要同型同款，多台高清摄像机保证录制效果的一致性；</w:t>
            </w:r>
          </w:p>
          <w:p>
            <w:pPr>
              <w:snapToGrid w:val="0"/>
              <w:rPr>
                <w:rFonts w:hint="eastAsia" w:ascii="宋体" w:hAnsi="宋体" w:cs="宋体"/>
                <w:sz w:val="20"/>
                <w:szCs w:val="20"/>
                <w:lang w:val="en-US" w:eastAsia="zh-CN" w:bidi="ne-NP"/>
              </w:rPr>
            </w:pPr>
            <w:r>
              <w:rPr>
                <w:rFonts w:hint="eastAsia" w:ascii="宋体" w:hAnsi="宋体" w:cs="宋体"/>
                <w:sz w:val="20"/>
                <w:szCs w:val="20"/>
                <w:lang w:val="en-US" w:eastAsia="zh-CN" w:bidi="ne-NP"/>
              </w:rPr>
              <w:t>主机位用于拍摄教师全景，主机位用于拍摄教师全景，辅助机位1拍摄教师特写。录音设备要求使用若干个专业级话筒，保证录音质量。</w:t>
            </w:r>
          </w:p>
          <w:p>
            <w:pPr>
              <w:snapToGrid w:val="0"/>
              <w:rPr>
                <w:rFonts w:hint="eastAsia" w:ascii="宋体" w:hAnsi="宋体" w:cs="宋体"/>
                <w:sz w:val="20"/>
                <w:szCs w:val="20"/>
                <w:lang w:val="en-US" w:eastAsia="zh-CN" w:bidi="ne-NP"/>
              </w:rPr>
            </w:pPr>
            <w:r>
              <w:rPr>
                <w:rFonts w:hint="eastAsia" w:ascii="宋体" w:hAnsi="宋体" w:cs="宋体"/>
                <w:sz w:val="20"/>
                <w:szCs w:val="20"/>
                <w:lang w:val="en-US" w:eastAsia="zh-CN" w:bidi="ne-NP"/>
              </w:rPr>
              <w:t>保证拍摄现场的音响效果及灯光效果达到摄影棚级别要求。</w:t>
            </w:r>
          </w:p>
          <w:p>
            <w:pPr>
              <w:rPr>
                <w:rStyle w:val="36"/>
                <w:rFonts w:hint="eastAsia" w:ascii="宋体" w:hAnsi="宋体" w:cs="宋体" w:eastAsiaTheme="minorEastAsia"/>
                <w:b/>
                <w:bCs/>
                <w:sz w:val="20"/>
                <w:szCs w:val="20"/>
                <w:lang w:eastAsia="zh-CN"/>
              </w:rPr>
            </w:pPr>
            <w:r>
              <w:rPr>
                <w:rStyle w:val="36"/>
                <w:rFonts w:hint="eastAsia" w:ascii="宋体" w:hAnsi="宋体" w:cs="宋体"/>
                <w:b/>
                <w:bCs/>
                <w:sz w:val="20"/>
                <w:szCs w:val="20"/>
              </w:rPr>
              <w:t>三、后期制作要求</w:t>
            </w:r>
          </w:p>
          <w:p>
            <w:pPr>
              <w:snapToGrid w:val="0"/>
              <w:rPr>
                <w:rFonts w:hint="eastAsia" w:ascii="宋体" w:hAnsi="宋体" w:cs="宋体"/>
                <w:sz w:val="20"/>
                <w:szCs w:val="20"/>
                <w:lang w:val="en-US" w:eastAsia="zh-CN" w:bidi="ne-NP"/>
              </w:rPr>
            </w:pPr>
            <w:r>
              <w:rPr>
                <w:rFonts w:hint="eastAsia" w:ascii="宋体" w:hAnsi="宋体" w:cs="宋体"/>
                <w:sz w:val="20"/>
                <w:szCs w:val="20"/>
                <w:lang w:val="en-US" w:eastAsia="zh-CN" w:bidi="ne-NP"/>
              </w:rPr>
              <w:t>1、使用一线专业非编软件：对源视频进行最基本的处理（如抠像、垃圾镜头处理、颜色校正、双声道处理）。使用专业的视频编辑系统进行视频降噪、音频降噪。根据编导脚本进行编辑片花和引文中的背景板、特定的背景音乐、音乐场景特效、引文字体、字体颜色、构图排版、转场特效、基本剪辑、音视频调整与衔接工作。</w:t>
            </w:r>
          </w:p>
          <w:p>
            <w:pPr>
              <w:snapToGrid w:val="0"/>
              <w:rPr>
                <w:rFonts w:hint="eastAsia" w:ascii="宋体" w:hAnsi="宋体" w:cs="宋体"/>
                <w:sz w:val="20"/>
                <w:szCs w:val="20"/>
                <w:lang w:val="en-US" w:eastAsia="zh-CN" w:bidi="ne-NP"/>
              </w:rPr>
            </w:pPr>
            <w:r>
              <w:rPr>
                <w:rFonts w:hint="eastAsia" w:ascii="宋体" w:hAnsi="宋体" w:cs="宋体"/>
                <w:sz w:val="20"/>
                <w:szCs w:val="20"/>
                <w:lang w:val="en-US" w:eastAsia="zh-CN" w:bidi="ne-NP"/>
              </w:rPr>
              <w:t>2、根据每个课程数字资源的内容提供片头，片头时长根据课程要求而定。</w:t>
            </w:r>
          </w:p>
          <w:p>
            <w:pPr>
              <w:rPr>
                <w:rStyle w:val="36"/>
                <w:rFonts w:hint="eastAsia" w:ascii="宋体" w:hAnsi="宋体" w:cs="宋体" w:eastAsiaTheme="minorEastAsia"/>
                <w:b/>
                <w:bCs/>
                <w:sz w:val="20"/>
                <w:szCs w:val="20"/>
                <w:lang w:eastAsia="zh-CN"/>
              </w:rPr>
            </w:pPr>
            <w:r>
              <w:rPr>
                <w:rStyle w:val="36"/>
                <w:rFonts w:hint="eastAsia" w:ascii="宋体" w:hAnsi="宋体" w:cs="宋体"/>
                <w:b/>
                <w:bCs/>
                <w:sz w:val="20"/>
                <w:szCs w:val="20"/>
              </w:rPr>
              <w:t>四、视频图像质量</w:t>
            </w:r>
          </w:p>
          <w:p>
            <w:pPr>
              <w:snapToGrid w:val="0"/>
              <w:rPr>
                <w:rFonts w:hint="eastAsia" w:ascii="宋体" w:hAnsi="宋体" w:cs="宋体"/>
                <w:sz w:val="20"/>
                <w:szCs w:val="20"/>
                <w:lang w:val="en-US" w:eastAsia="zh-CN" w:bidi="ne-NP"/>
              </w:rPr>
            </w:pPr>
            <w:r>
              <w:rPr>
                <w:rFonts w:hint="eastAsia" w:ascii="宋体" w:hAnsi="宋体" w:cs="宋体"/>
                <w:sz w:val="20"/>
                <w:szCs w:val="20"/>
                <w:lang w:val="en-US" w:eastAsia="zh-CN" w:bidi="ne-NP"/>
              </w:rPr>
              <w:t>1、稳定性：全片图像同步性能稳定，无失步现象，CTL 同步控制信号必须连续；图像无抖动跳跃，色彩无突变，编辑点处图像稳定。</w:t>
            </w:r>
          </w:p>
          <w:p>
            <w:pPr>
              <w:snapToGrid w:val="0"/>
              <w:rPr>
                <w:rFonts w:hint="eastAsia" w:ascii="宋体" w:hAnsi="宋体" w:cs="宋体"/>
                <w:sz w:val="20"/>
                <w:szCs w:val="20"/>
                <w:lang w:val="en-US" w:eastAsia="zh-CN" w:bidi="ne-NP"/>
              </w:rPr>
            </w:pPr>
            <w:r>
              <w:rPr>
                <w:rFonts w:hint="eastAsia" w:ascii="宋体" w:hAnsi="宋体" w:cs="宋体"/>
                <w:sz w:val="20"/>
                <w:szCs w:val="20"/>
                <w:lang w:val="en-US" w:eastAsia="zh-CN" w:bidi="ne-NP"/>
              </w:rPr>
              <w:t>2、信噪比：图像信噪比不低于55dB，无明显杂波。</w:t>
            </w:r>
          </w:p>
          <w:p>
            <w:pPr>
              <w:snapToGrid w:val="0"/>
              <w:rPr>
                <w:rFonts w:hint="eastAsia" w:ascii="宋体" w:hAnsi="宋体" w:cs="宋体"/>
                <w:sz w:val="20"/>
                <w:szCs w:val="20"/>
                <w:lang w:val="en-US" w:eastAsia="zh-CN" w:bidi="ne-NP"/>
              </w:rPr>
            </w:pPr>
            <w:r>
              <w:rPr>
                <w:rFonts w:hint="eastAsia" w:ascii="宋体" w:hAnsi="宋体" w:cs="宋体"/>
                <w:sz w:val="20"/>
                <w:szCs w:val="20"/>
                <w:lang w:val="en-US" w:eastAsia="zh-CN" w:bidi="ne-NP"/>
              </w:rPr>
              <w:t>3、色调：白平衡正确，无明显偏色，多机拍摄的镜头衔接处无明显色差。</w:t>
            </w:r>
          </w:p>
          <w:p>
            <w:pPr>
              <w:snapToGrid w:val="0"/>
              <w:rPr>
                <w:rFonts w:hint="eastAsia" w:ascii="宋体" w:hAnsi="宋体" w:cs="宋体"/>
                <w:sz w:val="20"/>
                <w:szCs w:val="20"/>
                <w:lang w:val="en-US" w:eastAsia="zh-CN" w:bidi="ne-NP"/>
              </w:rPr>
            </w:pPr>
            <w:r>
              <w:rPr>
                <w:rFonts w:hint="eastAsia" w:ascii="宋体" w:hAnsi="宋体" w:cs="宋体"/>
                <w:sz w:val="20"/>
                <w:szCs w:val="20"/>
                <w:lang w:val="en-US" w:eastAsia="zh-CN" w:bidi="ne-NP"/>
              </w:rPr>
              <w:t>4、视频电平：视频全讯号幅度为1Ⅴp-p，最大不超过1.1Ⅴp-p。其中，消隐电平为0V时，白电平幅度0.7Ⅴp-p，同步信号-0.3V，色同步信号幅度0.3Vp-p (以消隐线上下对称)，全片一致。</w:t>
            </w:r>
          </w:p>
          <w:p>
            <w:pPr>
              <w:snapToGrid w:val="0"/>
              <w:rPr>
                <w:rFonts w:hint="eastAsia" w:ascii="宋体" w:hAnsi="宋体" w:cs="宋体"/>
                <w:sz w:val="20"/>
                <w:szCs w:val="20"/>
                <w:lang w:val="en-US" w:eastAsia="zh-CN" w:bidi="ne-NP"/>
              </w:rPr>
            </w:pPr>
            <w:r>
              <w:rPr>
                <w:rFonts w:hint="eastAsia" w:ascii="宋体" w:hAnsi="宋体" w:cs="宋体"/>
                <w:sz w:val="20"/>
                <w:szCs w:val="20"/>
                <w:lang w:val="en-US" w:eastAsia="zh-CN" w:bidi="ne-NP"/>
              </w:rPr>
              <w:t>5、视频画幅宽高比：宽高比为16:9;在同一课程数字资源中，各讲应统一画幅的宽高比，不得混用。</w:t>
            </w:r>
          </w:p>
          <w:p>
            <w:pPr>
              <w:snapToGrid w:val="0"/>
              <w:rPr>
                <w:rFonts w:hint="eastAsia" w:ascii="宋体" w:hAnsi="宋体" w:cs="宋体"/>
                <w:sz w:val="20"/>
                <w:szCs w:val="20"/>
                <w:lang w:val="en-US" w:eastAsia="zh-CN" w:bidi="ne-NP"/>
              </w:rPr>
            </w:pPr>
            <w:r>
              <w:rPr>
                <w:rFonts w:hint="eastAsia" w:ascii="宋体" w:hAnsi="宋体" w:cs="宋体"/>
                <w:sz w:val="20"/>
                <w:szCs w:val="20"/>
                <w:lang w:val="en-US" w:eastAsia="zh-CN" w:bidi="ne-NP"/>
              </w:rPr>
              <w:t>6、视频压缩采用H.264(MPEG-4 Part10：profile=main, level=3.0)编码方式，码流率5000kbps 以上，帧率不低于25fps，分辨率应不低于1920×1080，成片格式为采用MP4格式，提供片头设计和制作。</w:t>
            </w:r>
          </w:p>
          <w:p>
            <w:pPr>
              <w:rPr>
                <w:rStyle w:val="36"/>
                <w:rFonts w:hint="eastAsia" w:ascii="宋体" w:hAnsi="宋体" w:cs="宋体" w:eastAsiaTheme="minorEastAsia"/>
                <w:b/>
                <w:bCs/>
                <w:sz w:val="20"/>
                <w:szCs w:val="20"/>
                <w:lang w:eastAsia="zh-CN"/>
              </w:rPr>
            </w:pPr>
            <w:r>
              <w:rPr>
                <w:rStyle w:val="36"/>
                <w:rFonts w:hint="eastAsia" w:ascii="宋体" w:hAnsi="宋体" w:cs="宋体"/>
                <w:b/>
                <w:bCs/>
                <w:sz w:val="20"/>
                <w:szCs w:val="20"/>
              </w:rPr>
              <w:t>五、音频压缩格式及技术参数</w:t>
            </w:r>
          </w:p>
          <w:p>
            <w:pPr>
              <w:snapToGrid w:val="0"/>
              <w:rPr>
                <w:rFonts w:hint="eastAsia" w:ascii="宋体" w:hAnsi="宋体" w:cs="宋体"/>
                <w:sz w:val="20"/>
                <w:szCs w:val="20"/>
                <w:lang w:val="en-US" w:eastAsia="zh-CN" w:bidi="ne-NP"/>
              </w:rPr>
            </w:pPr>
            <w:r>
              <w:rPr>
                <w:rFonts w:hint="eastAsia" w:ascii="宋体" w:hAnsi="宋体" w:cs="宋体"/>
                <w:sz w:val="20"/>
                <w:szCs w:val="20"/>
                <w:lang w:val="en-US" w:eastAsia="zh-CN" w:bidi="ne-NP"/>
              </w:rPr>
              <w:t>1、音频压缩采用AAC(MPEG4 Part3)格式。</w:t>
            </w:r>
          </w:p>
          <w:p>
            <w:pPr>
              <w:snapToGrid w:val="0"/>
              <w:rPr>
                <w:rFonts w:hint="eastAsia" w:ascii="宋体" w:hAnsi="宋体" w:cs="宋体"/>
                <w:sz w:val="20"/>
                <w:szCs w:val="20"/>
                <w:lang w:val="en-US" w:eastAsia="zh-CN" w:bidi="ne-NP"/>
              </w:rPr>
            </w:pPr>
            <w:r>
              <w:rPr>
                <w:rFonts w:hint="eastAsia" w:ascii="宋体" w:hAnsi="宋体" w:cs="宋体"/>
                <w:sz w:val="20"/>
                <w:szCs w:val="20"/>
                <w:lang w:val="en-US" w:eastAsia="zh-CN" w:bidi="ne-NP"/>
              </w:rPr>
              <w:t>2、采样率48KHz。</w:t>
            </w:r>
          </w:p>
          <w:p>
            <w:pPr>
              <w:snapToGrid w:val="0"/>
              <w:rPr>
                <w:rFonts w:hint="eastAsia" w:ascii="宋体" w:hAnsi="宋体" w:cs="宋体"/>
                <w:sz w:val="20"/>
                <w:szCs w:val="20"/>
                <w:lang w:val="en-US" w:eastAsia="zh-CN" w:bidi="ne-NP"/>
              </w:rPr>
            </w:pPr>
            <w:r>
              <w:rPr>
                <w:rFonts w:hint="eastAsia" w:ascii="宋体" w:hAnsi="宋体" w:cs="宋体"/>
                <w:sz w:val="20"/>
                <w:szCs w:val="20"/>
                <w:lang w:val="en-US" w:eastAsia="zh-CN" w:bidi="ne-NP"/>
              </w:rPr>
              <w:t>3、音频码流率256kbps (恒定)。</w:t>
            </w:r>
          </w:p>
          <w:p>
            <w:pPr>
              <w:snapToGrid w:val="0"/>
              <w:rPr>
                <w:rFonts w:hint="eastAsia" w:ascii="宋体" w:hAnsi="宋体" w:cs="宋体"/>
                <w:sz w:val="20"/>
                <w:szCs w:val="20"/>
                <w:lang w:val="en-US" w:eastAsia="zh-CN" w:bidi="ne-NP"/>
              </w:rPr>
            </w:pPr>
            <w:r>
              <w:rPr>
                <w:rFonts w:hint="eastAsia" w:ascii="宋体" w:hAnsi="宋体" w:cs="宋体"/>
                <w:sz w:val="20"/>
                <w:szCs w:val="20"/>
                <w:lang w:val="en-US" w:eastAsia="zh-CN" w:bidi="ne-NP"/>
              </w:rPr>
              <w:t>4、必须是双声道，必须做混音处理。</w:t>
            </w:r>
          </w:p>
          <w:p>
            <w:pPr>
              <w:snapToGrid w:val="0"/>
              <w:spacing w:line="360" w:lineRule="auto"/>
              <w:jc w:val="left"/>
              <w:rPr>
                <w:rStyle w:val="36"/>
                <w:rFonts w:hint="eastAsia" w:ascii="宋体" w:hAnsi="宋体" w:cs="宋体" w:eastAsiaTheme="minorEastAsia"/>
                <w:b/>
                <w:bCs/>
                <w:sz w:val="20"/>
                <w:szCs w:val="20"/>
                <w:lang w:eastAsia="zh-CN"/>
              </w:rPr>
            </w:pPr>
            <w:r>
              <w:rPr>
                <w:rStyle w:val="36"/>
                <w:rFonts w:hint="eastAsia" w:ascii="宋体" w:hAnsi="宋体" w:cs="宋体"/>
                <w:b/>
                <w:bCs/>
                <w:sz w:val="20"/>
                <w:szCs w:val="20"/>
              </w:rPr>
              <w:t>六、制作规范及要求</w:t>
            </w:r>
          </w:p>
          <w:p>
            <w:pPr>
              <w:snapToGrid w:val="0"/>
              <w:rPr>
                <w:rFonts w:hint="eastAsia" w:ascii="宋体" w:hAnsi="宋体" w:cs="宋体"/>
                <w:sz w:val="20"/>
                <w:szCs w:val="20"/>
                <w:lang w:val="en-US" w:eastAsia="zh-CN" w:bidi="ne-NP"/>
              </w:rPr>
            </w:pPr>
            <w:r>
              <w:rPr>
                <w:rFonts w:hint="eastAsia" w:ascii="宋体" w:hAnsi="宋体" w:cs="宋体"/>
                <w:sz w:val="20"/>
                <w:szCs w:val="20"/>
                <w:lang w:val="en-US" w:eastAsia="zh-CN" w:bidi="ne-NP"/>
              </w:rPr>
              <w:t>1、使用专业的非线性编辑(1920*50M/S)系统对源视频进行最基本的处理（如剪辑、抠像、颜色校正、双声道处理）。</w:t>
            </w:r>
          </w:p>
          <w:p>
            <w:pPr>
              <w:snapToGrid w:val="0"/>
              <w:rPr>
                <w:rFonts w:hint="eastAsia" w:ascii="宋体" w:hAnsi="宋体" w:cs="宋体"/>
                <w:sz w:val="20"/>
                <w:szCs w:val="20"/>
                <w:lang w:val="en-US" w:eastAsia="zh-CN" w:bidi="ne-NP"/>
              </w:rPr>
            </w:pPr>
            <w:r>
              <w:rPr>
                <w:rFonts w:hint="eastAsia" w:ascii="宋体" w:hAnsi="宋体" w:cs="宋体"/>
                <w:sz w:val="20"/>
                <w:szCs w:val="20"/>
                <w:lang w:val="en-US" w:eastAsia="zh-CN" w:bidi="ne-NP"/>
              </w:rPr>
              <w:t>2、声音和画面要求同步，无交流声或其他杂音等缺陷，无明显失真、放音过冲、过弱。伴音清晰、饱满、圆润，无失真、噪声杂音干扰、音量忽大忽小现象。解说声与现场声、背景音乐无明显比例失调。音频信噪比不低于48dB。</w:t>
            </w:r>
          </w:p>
          <w:p>
            <w:pPr>
              <w:snapToGrid w:val="0"/>
              <w:rPr>
                <w:rFonts w:hint="eastAsia" w:ascii="宋体" w:hAnsi="宋体" w:cs="宋体"/>
                <w:sz w:val="20"/>
                <w:szCs w:val="20"/>
                <w:lang w:val="en-US" w:eastAsia="zh-CN" w:bidi="ne-NP"/>
              </w:rPr>
            </w:pPr>
            <w:r>
              <w:rPr>
                <w:rFonts w:hint="eastAsia" w:ascii="宋体" w:hAnsi="宋体" w:cs="宋体"/>
                <w:sz w:val="20"/>
                <w:szCs w:val="20"/>
                <w:lang w:val="en-US" w:eastAsia="zh-CN" w:bidi="ne-NP"/>
              </w:rPr>
              <w:t>3、后期特效保证画面美观、色彩真实，符合摄影构图规则。老师视频必须具备人物特写、知识点特效展示、人物中景等场景。场景切换自然流畅，色彩无突变，画面无晃动、抖动、模糊聚焦和镜头频繁拉伸等。</w:t>
            </w:r>
          </w:p>
          <w:p>
            <w:pPr>
              <w:snapToGrid w:val="0"/>
              <w:spacing w:line="360" w:lineRule="auto"/>
              <w:jc w:val="left"/>
              <w:rPr>
                <w:rStyle w:val="36"/>
                <w:rFonts w:hint="eastAsia" w:ascii="宋体" w:hAnsi="宋体" w:cs="宋体" w:eastAsiaTheme="minorEastAsia"/>
                <w:b/>
                <w:bCs/>
                <w:sz w:val="20"/>
                <w:szCs w:val="20"/>
                <w:lang w:eastAsia="zh-CN"/>
              </w:rPr>
            </w:pPr>
            <w:r>
              <w:rPr>
                <w:rStyle w:val="36"/>
                <w:rFonts w:hint="eastAsia" w:ascii="宋体" w:hAnsi="宋体" w:cs="宋体"/>
                <w:b/>
                <w:bCs/>
                <w:sz w:val="20"/>
                <w:szCs w:val="20"/>
                <w:lang w:eastAsia="zh-CN"/>
              </w:rPr>
              <w:t>七</w:t>
            </w:r>
            <w:r>
              <w:rPr>
                <w:rStyle w:val="36"/>
                <w:rFonts w:hint="eastAsia" w:ascii="宋体" w:hAnsi="宋体" w:cs="宋体"/>
                <w:b/>
                <w:bCs/>
                <w:sz w:val="20"/>
                <w:szCs w:val="20"/>
              </w:rPr>
              <w:t>、成片标准</w:t>
            </w:r>
          </w:p>
          <w:p>
            <w:pPr>
              <w:snapToGrid w:val="0"/>
              <w:rPr>
                <w:rFonts w:hint="eastAsia" w:ascii="宋体" w:hAnsi="宋体" w:cs="宋体"/>
                <w:sz w:val="20"/>
                <w:szCs w:val="20"/>
                <w:lang w:val="en-US" w:eastAsia="zh-CN" w:bidi="ne-NP"/>
              </w:rPr>
            </w:pPr>
            <w:r>
              <w:rPr>
                <w:rFonts w:hint="eastAsia" w:ascii="宋体" w:hAnsi="宋体" w:cs="宋体"/>
                <w:sz w:val="20"/>
                <w:szCs w:val="20"/>
                <w:lang w:val="en-US" w:eastAsia="zh-CN" w:bidi="ne-NP"/>
              </w:rPr>
              <w:t>1、视频标准：格式为mp4，采用H.264编码；公司应保留全部母带级别文件，至少一年；</w:t>
            </w:r>
          </w:p>
          <w:p>
            <w:pPr>
              <w:snapToGrid w:val="0"/>
              <w:rPr>
                <w:rFonts w:hint="eastAsia" w:ascii="宋体" w:hAnsi="宋体" w:cs="宋体"/>
                <w:sz w:val="20"/>
                <w:szCs w:val="20"/>
                <w:lang w:val="en-US" w:eastAsia="zh-CN" w:bidi="ne-NP"/>
              </w:rPr>
            </w:pPr>
            <w:r>
              <w:rPr>
                <w:rFonts w:hint="eastAsia" w:ascii="宋体" w:hAnsi="宋体" w:cs="宋体"/>
                <w:sz w:val="20"/>
                <w:szCs w:val="20"/>
                <w:lang w:val="en-US" w:eastAsia="zh-CN" w:bidi="ne-NP"/>
              </w:rPr>
              <w:t>2、分辨率：1080p高清（1920× 1080）；压缩码率&gt;800kb，&lt;1024kb；单个文件大小500m以内；录制视频宽高比16:9，视频帧率为25 帧/秒；</w:t>
            </w:r>
          </w:p>
          <w:p>
            <w:pPr>
              <w:snapToGrid w:val="0"/>
              <w:rPr>
                <w:rFonts w:hint="eastAsia" w:ascii="宋体" w:hAnsi="宋体" w:cs="宋体"/>
                <w:sz w:val="20"/>
                <w:szCs w:val="20"/>
                <w:lang w:val="en-US" w:eastAsia="zh-CN" w:bidi="ne-NP"/>
              </w:rPr>
            </w:pPr>
            <w:r>
              <w:rPr>
                <w:rFonts w:hint="eastAsia" w:ascii="宋体" w:hAnsi="宋体" w:cs="宋体"/>
                <w:sz w:val="20"/>
                <w:szCs w:val="20"/>
                <w:lang w:val="en-US" w:eastAsia="zh-CN" w:bidi="ne-NP"/>
              </w:rPr>
              <w:t>3、音频标准：音频压缩采用：AAC 格式；</w:t>
            </w:r>
          </w:p>
          <w:p>
            <w:pPr>
              <w:snapToGrid w:val="0"/>
              <w:rPr>
                <w:rFonts w:hint="eastAsia" w:ascii="宋体" w:hAnsi="宋体" w:cs="宋体"/>
                <w:sz w:val="20"/>
                <w:szCs w:val="20"/>
                <w:lang w:val="en-US" w:eastAsia="zh-CN" w:bidi="ne-NP"/>
              </w:rPr>
            </w:pPr>
            <w:r>
              <w:rPr>
                <w:rFonts w:hint="eastAsia" w:ascii="宋体" w:hAnsi="宋体" w:cs="宋体"/>
                <w:sz w:val="20"/>
                <w:szCs w:val="20"/>
                <w:lang w:val="en-US" w:eastAsia="zh-CN" w:bidi="ne-NP"/>
              </w:rPr>
              <w:t>4、采样率：48KHz；</w:t>
            </w:r>
          </w:p>
          <w:p>
            <w:pPr>
              <w:snapToGrid w:val="0"/>
              <w:rPr>
                <w:rFonts w:hint="eastAsia" w:ascii="宋体" w:hAnsi="宋体" w:cs="宋体"/>
                <w:sz w:val="20"/>
                <w:szCs w:val="20"/>
                <w:lang w:val="en-US" w:eastAsia="zh-CN" w:bidi="ne-NP"/>
              </w:rPr>
            </w:pPr>
            <w:r>
              <w:rPr>
                <w:rFonts w:hint="eastAsia" w:ascii="宋体" w:hAnsi="宋体" w:cs="宋体"/>
                <w:sz w:val="20"/>
                <w:szCs w:val="20"/>
                <w:lang w:val="en-US" w:eastAsia="zh-CN" w:bidi="ne-NP"/>
              </w:rPr>
              <w:t>5、音频码流率：128Kbps；</w:t>
            </w:r>
          </w:p>
          <w:p>
            <w:pPr>
              <w:snapToGrid w:val="0"/>
              <w:rPr>
                <w:rFonts w:hint="eastAsia" w:ascii="宋体" w:hAnsi="宋体" w:cs="宋体"/>
                <w:sz w:val="20"/>
                <w:szCs w:val="20"/>
                <w:lang w:val="en-US" w:eastAsia="zh-CN" w:bidi="ne-NP"/>
              </w:rPr>
            </w:pPr>
            <w:r>
              <w:rPr>
                <w:rFonts w:hint="eastAsia" w:ascii="宋体" w:hAnsi="宋体" w:cs="宋体"/>
                <w:sz w:val="20"/>
                <w:szCs w:val="20"/>
                <w:lang w:val="en-US" w:eastAsia="zh-CN" w:bidi="ne-NP"/>
              </w:rPr>
              <w:t>6、声道：双声道。</w:t>
            </w:r>
          </w:p>
          <w:p>
            <w:pPr>
              <w:snapToGrid w:val="0"/>
              <w:spacing w:line="360" w:lineRule="auto"/>
              <w:jc w:val="left"/>
              <w:rPr>
                <w:rFonts w:hint="eastAsia" w:ascii="宋体" w:hAnsi="宋体" w:eastAsia="宋体" w:cs="宋体"/>
                <w:b/>
                <w:bCs/>
                <w:color w:val="auto"/>
                <w:kern w:val="0"/>
                <w:sz w:val="20"/>
                <w:szCs w:val="20"/>
                <w:lang w:val="en-US" w:eastAsia="zh-CN"/>
              </w:rPr>
            </w:pPr>
            <w:r>
              <w:rPr>
                <w:rFonts w:hint="eastAsia" w:ascii="宋体" w:hAnsi="宋体" w:cs="宋体"/>
                <w:b/>
                <w:bCs/>
                <w:color w:val="auto"/>
                <w:kern w:val="0"/>
                <w:sz w:val="20"/>
                <w:szCs w:val="20"/>
                <w:lang w:val="en-US" w:eastAsia="zh-CN"/>
              </w:rPr>
              <w:t>八</w:t>
            </w:r>
            <w:r>
              <w:rPr>
                <w:rFonts w:hint="eastAsia" w:ascii="宋体" w:hAnsi="宋体" w:eastAsia="宋体" w:cs="宋体"/>
                <w:b/>
                <w:bCs/>
                <w:color w:val="auto"/>
                <w:kern w:val="0"/>
                <w:sz w:val="20"/>
                <w:szCs w:val="20"/>
                <w:lang w:val="en-US" w:eastAsia="zh-CN"/>
              </w:rPr>
              <w:t>、支持数字人技术拍摄和制作</w:t>
            </w:r>
          </w:p>
          <w:p>
            <w:pPr>
              <w:snapToGrid w:val="0"/>
              <w:rPr>
                <w:rFonts w:hint="eastAsia" w:ascii="宋体" w:hAnsi="宋体" w:cs="宋体"/>
                <w:sz w:val="20"/>
                <w:szCs w:val="20"/>
                <w:lang w:val="en-US" w:eastAsia="zh-CN" w:bidi="ne-NP"/>
              </w:rPr>
            </w:pPr>
            <w:r>
              <w:rPr>
                <w:rFonts w:hint="eastAsia" w:ascii="宋体" w:hAnsi="宋体" w:cs="宋体"/>
                <w:sz w:val="20"/>
                <w:szCs w:val="20"/>
                <w:lang w:val="en-US" w:eastAsia="zh-CN" w:bidi="ne-NP"/>
              </w:rPr>
              <w:t>1、数字人人像构建：支持真人定制，还原度98%；支持人像位置，大小调节。</w:t>
            </w:r>
          </w:p>
          <w:p>
            <w:pPr>
              <w:snapToGrid w:val="0"/>
              <w:rPr>
                <w:rFonts w:hint="eastAsia" w:ascii="宋体" w:hAnsi="宋体" w:cs="宋体"/>
                <w:sz w:val="20"/>
                <w:szCs w:val="20"/>
                <w:lang w:val="en-US" w:eastAsia="zh-CN" w:bidi="ne-NP"/>
              </w:rPr>
            </w:pPr>
            <w:r>
              <w:rPr>
                <w:rFonts w:hint="eastAsia" w:ascii="宋体" w:hAnsi="宋体" w:cs="宋体"/>
                <w:sz w:val="20"/>
                <w:szCs w:val="20"/>
                <w:lang w:val="en-US" w:eastAsia="zh-CN" w:bidi="ne-NP"/>
              </w:rPr>
              <w:t>2、数字人声音构建：支持公用声音库自选，声音库包含英语、日语、秦语等多门外语，以及四川、东北、天津等多地方言，要求真人真声定制，还原度98%；支持数字人的音调、语速、音量再调节。</w:t>
            </w:r>
          </w:p>
          <w:p>
            <w:pPr>
              <w:snapToGrid w:val="0"/>
              <w:rPr>
                <w:rFonts w:hint="eastAsia" w:ascii="宋体" w:hAnsi="宋体" w:cs="宋体"/>
                <w:sz w:val="20"/>
                <w:szCs w:val="20"/>
                <w:lang w:val="en-US" w:eastAsia="zh-CN" w:bidi="ne-NP"/>
              </w:rPr>
            </w:pPr>
            <w:r>
              <w:rPr>
                <w:rFonts w:hint="eastAsia" w:ascii="宋体" w:hAnsi="宋体" w:cs="宋体"/>
                <w:sz w:val="20"/>
                <w:szCs w:val="20"/>
                <w:lang w:val="en-US" w:eastAsia="zh-CN" w:bidi="ne-NP"/>
              </w:rPr>
              <w:t>3、数字人驱动：支持文本驱动，可以在线编辑文稿，也可以使用AI辅助创作文案，实现在线试听效果；支持语音驱动，可以在线录音，也可以本地上传音频；支持数字人完成进度状态可视化，可筛</w:t>
            </w:r>
          </w:p>
          <w:p>
            <w:pPr>
              <w:snapToGrid w:val="0"/>
              <w:rPr>
                <w:rFonts w:hint="eastAsia" w:ascii="宋体" w:hAnsi="宋体" w:cs="宋体"/>
                <w:sz w:val="20"/>
                <w:szCs w:val="20"/>
                <w:lang w:val="en-US" w:eastAsia="zh-CN" w:bidi="ne-NP"/>
              </w:rPr>
            </w:pPr>
            <w:r>
              <w:rPr>
                <w:rFonts w:hint="eastAsia" w:ascii="宋体" w:hAnsi="宋体" w:cs="宋体"/>
                <w:sz w:val="20"/>
                <w:szCs w:val="20"/>
                <w:lang w:val="en-US" w:eastAsia="zh-CN" w:bidi="ne-NP"/>
              </w:rPr>
              <w:t>选。</w:t>
            </w:r>
          </w:p>
          <w:p>
            <w:pPr>
              <w:snapToGrid w:val="0"/>
              <w:rPr>
                <w:rFonts w:hint="eastAsia" w:ascii="宋体" w:hAnsi="宋体" w:cs="宋体"/>
                <w:sz w:val="20"/>
                <w:szCs w:val="20"/>
              </w:rPr>
            </w:pPr>
            <w:r>
              <w:rPr>
                <w:rFonts w:hint="eastAsia" w:ascii="宋体" w:hAnsi="宋体" w:cs="宋体"/>
                <w:sz w:val="20"/>
                <w:szCs w:val="20"/>
                <w:lang w:val="en-US" w:eastAsia="zh-CN" w:bidi="ne-NP"/>
              </w:rPr>
              <w:t>4、场景/画布：支持对每个场景快速预览；支持对数字人的声音和形象属性进行选择和编辑；支持背景/贴图/视频元素库里自选：背景/贴图/视频元素；支持视频元素作为动态背景形式展现，当视频元素时长小于内容时长时，可循环视频的播放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1137" w:type="dxa"/>
            <w:vMerge w:val="continue"/>
            <w:tcBorders>
              <w:left w:val="single" w:color="000000" w:sz="4" w:space="0"/>
              <w:right w:val="single" w:color="000000" w:sz="4" w:space="0"/>
            </w:tcBorders>
            <w:noWrap w:val="0"/>
            <w:vAlign w:val="center"/>
          </w:tcPr>
          <w:p>
            <w:pPr>
              <w:jc w:val="center"/>
              <w:rPr>
                <w:rStyle w:val="36"/>
                <w:rFonts w:hint="eastAsia" w:ascii="宋体" w:hAnsi="宋体" w:cs="宋体"/>
                <w:sz w:val="20"/>
                <w:szCs w:val="20"/>
              </w:rPr>
            </w:pPr>
          </w:p>
        </w:tc>
        <w:tc>
          <w:tcPr>
            <w:tcW w:w="1715" w:type="dxa"/>
            <w:tcBorders>
              <w:top w:val="single" w:color="000000" w:sz="4" w:space="0"/>
              <w:left w:val="single" w:color="000000" w:sz="4" w:space="0"/>
              <w:bottom w:val="single" w:color="000000" w:sz="4" w:space="0"/>
              <w:right w:val="single" w:color="000000" w:sz="4" w:space="0"/>
            </w:tcBorders>
            <w:noWrap w:val="0"/>
            <w:vAlign w:val="center"/>
          </w:tcPr>
          <w:p>
            <w:pPr>
              <w:jc w:val="center"/>
              <w:rPr>
                <w:rStyle w:val="35"/>
                <w:rFonts w:hint="default" w:ascii="宋体" w:hAnsi="宋体" w:eastAsia="宋体" w:cs="宋体"/>
                <w:sz w:val="20"/>
                <w:szCs w:val="20"/>
                <w:lang w:val="en-US" w:eastAsia="zh-CN"/>
              </w:rPr>
            </w:pPr>
            <w:r>
              <w:rPr>
                <w:rStyle w:val="35"/>
                <w:rFonts w:hint="eastAsia" w:ascii="宋体" w:hAnsi="宋体" w:cs="宋体"/>
                <w:sz w:val="20"/>
                <w:szCs w:val="20"/>
                <w:lang w:val="en-US" w:eastAsia="zh-CN"/>
              </w:rPr>
              <w:t>课堂实录</w:t>
            </w:r>
          </w:p>
        </w:tc>
        <w:tc>
          <w:tcPr>
            <w:tcW w:w="7003" w:type="dxa"/>
            <w:tcBorders>
              <w:top w:val="single" w:color="000000" w:sz="4" w:space="0"/>
              <w:left w:val="single" w:color="000000" w:sz="4" w:space="0"/>
              <w:bottom w:val="single" w:color="000000" w:sz="4" w:space="0"/>
              <w:right w:val="single" w:color="000000" w:sz="4" w:space="0"/>
            </w:tcBorders>
            <w:noWrap w:val="0"/>
            <w:vAlign w:val="top"/>
          </w:tcPr>
          <w:p>
            <w:pPr>
              <w:snapToGrid w:val="0"/>
              <w:rPr>
                <w:rFonts w:hint="eastAsia" w:ascii="宋体" w:hAnsi="宋体" w:eastAsia="宋体" w:cs="宋体"/>
                <w:sz w:val="20"/>
                <w:szCs w:val="20"/>
                <w:highlight w:val="none"/>
                <w:lang w:val="es-AR" w:bidi="ne-NP"/>
              </w:rPr>
            </w:pPr>
            <w:r>
              <w:rPr>
                <w:rFonts w:hint="eastAsia"/>
                <w:sz w:val="20"/>
                <w:szCs w:val="20"/>
                <w:lang w:val="en-US" w:eastAsia="zh-CN"/>
              </w:rPr>
              <w:t xml:space="preserve">1. </w:t>
            </w:r>
            <w:r>
              <w:rPr>
                <w:rFonts w:hint="eastAsia" w:ascii="宋体" w:hAnsi="宋体" w:eastAsia="宋体" w:cs="宋体"/>
                <w:i w:val="0"/>
                <w:iCs w:val="0"/>
                <w:color w:val="000000"/>
                <w:kern w:val="0"/>
                <w:sz w:val="20"/>
                <w:szCs w:val="20"/>
                <w:u w:val="none"/>
                <w:lang w:val="en-US" w:eastAsia="zh-CN" w:bidi="ar"/>
              </w:rPr>
              <w:t>课堂实录</w:t>
            </w:r>
            <w:r>
              <w:rPr>
                <w:rFonts w:hint="eastAsia" w:ascii="宋体" w:hAnsi="宋体" w:cs="宋体"/>
                <w:i w:val="0"/>
                <w:iCs w:val="0"/>
                <w:color w:val="000000"/>
                <w:kern w:val="0"/>
                <w:sz w:val="20"/>
                <w:szCs w:val="20"/>
                <w:u w:val="none"/>
                <w:lang w:val="en-US" w:eastAsia="zh-CN" w:bidi="ar"/>
              </w:rPr>
              <w:t>2堂课</w:t>
            </w:r>
            <w:r>
              <w:rPr>
                <w:rFonts w:hint="eastAsia" w:ascii="宋体" w:hAnsi="宋体" w:eastAsia="宋体" w:cs="宋体"/>
                <w:i w:val="0"/>
                <w:iCs w:val="0"/>
                <w:color w:val="000000"/>
                <w:kern w:val="0"/>
                <w:sz w:val="20"/>
                <w:szCs w:val="20"/>
                <w:u w:val="none"/>
                <w:lang w:val="en-US" w:eastAsia="zh-CN" w:bidi="ar"/>
              </w:rPr>
              <w:t>（45分钟），协助进行各类比赛的运行与申报</w:t>
            </w:r>
          </w:p>
          <w:p>
            <w:pPr>
              <w:snapToGrid w:val="0"/>
              <w:rPr>
                <w:rFonts w:hint="eastAsia" w:ascii="宋体" w:hAnsi="宋体" w:eastAsia="宋体" w:cs="宋体"/>
                <w:sz w:val="20"/>
                <w:szCs w:val="20"/>
                <w:highlight w:val="none"/>
                <w:lang w:val="es-AR" w:bidi="ne-NP"/>
              </w:rPr>
            </w:pPr>
            <w:r>
              <w:rPr>
                <w:rFonts w:hint="eastAsia" w:ascii="宋体" w:hAnsi="宋体" w:eastAsia="宋体" w:cs="宋体"/>
                <w:color w:val="333333"/>
                <w:sz w:val="20"/>
                <w:szCs w:val="20"/>
                <w:highlight w:val="none"/>
              </w:rPr>
              <w:t>2</w:t>
            </w:r>
            <w:r>
              <w:rPr>
                <w:rFonts w:hint="eastAsia" w:ascii="宋体" w:hAnsi="宋体" w:eastAsia="宋体" w:cs="宋体"/>
                <w:sz w:val="20"/>
                <w:szCs w:val="20"/>
                <w:highlight w:val="none"/>
                <w:lang w:bidi="ne-NP"/>
              </w:rPr>
              <w:t>.</w:t>
            </w:r>
            <w:r>
              <w:rPr>
                <w:rFonts w:hint="eastAsia" w:ascii="宋体" w:hAnsi="宋体" w:eastAsia="宋体" w:cs="宋体"/>
                <w:sz w:val="20"/>
                <w:szCs w:val="20"/>
                <w:highlight w:val="none"/>
                <w:lang w:val="es-AR" w:bidi="ne-NP"/>
              </w:rPr>
              <w:t>一学期</w:t>
            </w:r>
            <w:r>
              <w:rPr>
                <w:rFonts w:hint="eastAsia" w:ascii="宋体" w:hAnsi="宋体" w:eastAsia="宋体" w:cs="宋体"/>
                <w:sz w:val="20"/>
                <w:szCs w:val="20"/>
                <w:highlight w:val="none"/>
                <w:lang w:bidi="ne-NP"/>
              </w:rPr>
              <w:t>1</w:t>
            </w:r>
            <w:r>
              <w:rPr>
                <w:rFonts w:hint="eastAsia" w:ascii="宋体" w:hAnsi="宋体" w:eastAsia="宋体" w:cs="宋体"/>
                <w:sz w:val="20"/>
                <w:szCs w:val="20"/>
                <w:highlight w:val="none"/>
                <w:lang w:val="es-AR" w:bidi="ne-NP"/>
              </w:rPr>
              <w:t>次</w:t>
            </w:r>
            <w:r>
              <w:rPr>
                <w:rFonts w:hint="eastAsia" w:ascii="宋体" w:hAnsi="宋体" w:eastAsia="宋体" w:cs="宋体"/>
                <w:sz w:val="20"/>
                <w:szCs w:val="20"/>
                <w:highlight w:val="none"/>
                <w:lang w:val="en-US" w:eastAsia="zh-CN" w:bidi="ne-NP"/>
              </w:rPr>
              <w:t>课堂教学现场支持</w:t>
            </w:r>
            <w:r>
              <w:rPr>
                <w:rFonts w:hint="eastAsia" w:ascii="宋体" w:hAnsi="宋体" w:eastAsia="宋体" w:cs="宋体"/>
                <w:sz w:val="20"/>
                <w:szCs w:val="20"/>
                <w:highlight w:val="none"/>
                <w:lang w:val="es-AR" w:bidi="ne-NP"/>
              </w:rPr>
              <w:t>，包括学生课前自学过程，如自主学习线上内容、小组课前作业准备环节等，包括课堂教学过程，如师生互动场景、小组展示场景、智慧教学工具使用场景等。</w:t>
            </w:r>
          </w:p>
          <w:p>
            <w:pPr>
              <w:snapToGrid w:val="0"/>
              <w:rPr>
                <w:rFonts w:hint="eastAsia" w:eastAsia="宋体"/>
                <w:sz w:val="20"/>
                <w:szCs w:val="20"/>
                <w:lang w:val="en-US" w:eastAsia="zh-CN"/>
              </w:rPr>
            </w:pPr>
            <w:r>
              <w:rPr>
                <w:rFonts w:hint="eastAsia" w:ascii="宋体" w:hAnsi="宋体" w:eastAsia="宋体" w:cs="宋体"/>
                <w:sz w:val="20"/>
                <w:szCs w:val="20"/>
                <w:highlight w:val="none"/>
                <w:lang w:val="en-US" w:eastAsia="zh-CN" w:bidi="ne-NP"/>
              </w:rPr>
              <w:t>3</w:t>
            </w:r>
            <w:r>
              <w:rPr>
                <w:rFonts w:hint="eastAsia" w:ascii="宋体" w:hAnsi="宋体" w:eastAsia="宋体" w:cs="宋体"/>
                <w:sz w:val="20"/>
                <w:szCs w:val="20"/>
                <w:highlight w:val="none"/>
                <w:lang w:bidi="ne-NP"/>
              </w:rPr>
              <w:t>.</w:t>
            </w:r>
            <w:r>
              <w:rPr>
                <w:rFonts w:hint="eastAsia" w:ascii="宋体" w:hAnsi="宋体" w:eastAsia="宋体" w:cs="宋体"/>
                <w:sz w:val="20"/>
                <w:szCs w:val="20"/>
                <w:highlight w:val="none"/>
                <w:lang w:val="es-AR" w:bidi="ne-NP"/>
              </w:rPr>
              <w:t>课堂实录设计、拍摄、精剪</w:t>
            </w:r>
            <w:r>
              <w:rPr>
                <w:rFonts w:hint="eastAsia" w:ascii="宋体" w:hAnsi="宋体" w:eastAsia="宋体" w:cs="宋体"/>
                <w:sz w:val="20"/>
                <w:szCs w:val="20"/>
                <w:highlight w:val="none"/>
                <w:lang w:val="es-AR" w:eastAsia="zh-CN" w:bidi="ne-NP"/>
              </w:rPr>
              <w:t>：</w:t>
            </w:r>
            <w:r>
              <w:rPr>
                <w:rFonts w:hint="eastAsia" w:ascii="宋体" w:hAnsi="宋体" w:eastAsia="宋体" w:cs="宋体"/>
                <w:sz w:val="20"/>
                <w:szCs w:val="20"/>
                <w:highlight w:val="none"/>
                <w:lang w:val="es-AR" w:bidi="ne-NP"/>
              </w:rPr>
              <w:t>完成</w:t>
            </w:r>
            <w:r>
              <w:rPr>
                <w:rFonts w:hint="eastAsia" w:ascii="宋体" w:hAnsi="宋体" w:eastAsia="宋体" w:cs="宋体"/>
                <w:sz w:val="20"/>
                <w:szCs w:val="20"/>
                <w:highlight w:val="none"/>
                <w:lang w:val="en-US" w:eastAsia="zh-CN" w:bidi="ne-NP"/>
              </w:rPr>
              <w:t>2</w:t>
            </w:r>
            <w:r>
              <w:rPr>
                <w:rFonts w:hint="eastAsia" w:ascii="宋体" w:hAnsi="宋体" w:eastAsia="宋体" w:cs="宋体"/>
                <w:sz w:val="20"/>
                <w:szCs w:val="20"/>
                <w:highlight w:val="none"/>
                <w:lang w:val="es-AR" w:bidi="ne-NP"/>
              </w:rPr>
              <w:t>次课堂实录拍摄，精心策划并剪辑成片，以备评审。</w:t>
            </w:r>
            <w:r>
              <w:rPr>
                <w:rFonts w:hint="eastAsia" w:ascii="宋体" w:hAnsi="宋体" w:eastAsia="宋体" w:cs="宋体"/>
                <w:sz w:val="20"/>
                <w:szCs w:val="20"/>
                <w:highlight w:val="none"/>
                <w:lang w:val="en-US" w:eastAsia="zh-CN" w:bidi="ne-NP"/>
              </w:rPr>
              <w:t>包括：</w:t>
            </w:r>
            <w:r>
              <w:rPr>
                <w:rFonts w:hint="eastAsia" w:ascii="宋体" w:hAnsi="宋体" w:eastAsia="宋体" w:cs="宋体"/>
                <w:sz w:val="20"/>
                <w:szCs w:val="20"/>
                <w:highlight w:val="none"/>
                <w:lang w:val="es-AR" w:bidi="ne-NP"/>
              </w:rPr>
              <w:t>课堂实录教学设计打磨</w:t>
            </w:r>
            <w:r>
              <w:rPr>
                <w:rFonts w:hint="eastAsia" w:ascii="宋体" w:hAnsi="宋体" w:eastAsia="宋体" w:cs="宋体"/>
                <w:sz w:val="20"/>
                <w:szCs w:val="20"/>
                <w:highlight w:val="none"/>
                <w:lang w:val="es-AR" w:eastAsia="zh-CN" w:bidi="ne-NP"/>
              </w:rPr>
              <w:t>、</w:t>
            </w:r>
            <w:r>
              <w:rPr>
                <w:rFonts w:hint="eastAsia" w:ascii="宋体" w:hAnsi="宋体" w:eastAsia="宋体" w:cs="宋体"/>
                <w:sz w:val="20"/>
                <w:szCs w:val="20"/>
                <w:highlight w:val="none"/>
                <w:lang w:val="es-AR" w:bidi="ne-NP"/>
              </w:rPr>
              <w:t>课堂活动</w:t>
            </w:r>
            <w:r>
              <w:rPr>
                <w:rFonts w:hint="eastAsia" w:ascii="宋体" w:hAnsi="宋体" w:eastAsia="宋体" w:cs="宋体"/>
                <w:sz w:val="20"/>
                <w:szCs w:val="20"/>
                <w:highlight w:val="none"/>
                <w:lang w:val="en-US" w:eastAsia="zh-CN" w:bidi="ne-NP"/>
              </w:rPr>
              <w:t>设计、</w:t>
            </w:r>
            <w:r>
              <w:rPr>
                <w:rFonts w:hint="eastAsia" w:ascii="宋体" w:hAnsi="宋体" w:eastAsia="宋体" w:cs="宋体"/>
                <w:sz w:val="20"/>
                <w:szCs w:val="20"/>
                <w:highlight w:val="none"/>
                <w:lang w:val="es-AR" w:bidi="ne-NP"/>
              </w:rPr>
              <w:t>智慧教学工具使用</w:t>
            </w:r>
            <w:r>
              <w:rPr>
                <w:rFonts w:hint="eastAsia" w:ascii="宋体" w:hAnsi="宋体" w:eastAsia="宋体" w:cs="宋体"/>
                <w:sz w:val="20"/>
                <w:szCs w:val="20"/>
                <w:highlight w:val="none"/>
                <w:lang w:val="es-AR" w:eastAsia="zh-CN" w:bidi="ne-NP"/>
              </w:rPr>
              <w:t>、</w:t>
            </w:r>
            <w:r>
              <w:rPr>
                <w:rFonts w:hint="eastAsia" w:ascii="宋体" w:hAnsi="宋体" w:eastAsia="宋体" w:cs="宋体"/>
                <w:sz w:val="20"/>
                <w:szCs w:val="20"/>
                <w:highlight w:val="none"/>
                <w:lang w:val="es-AR" w:bidi="ne-NP"/>
              </w:rPr>
              <w:t>课堂实录拍摄</w:t>
            </w:r>
            <w:r>
              <w:rPr>
                <w:rFonts w:hint="eastAsia" w:ascii="宋体" w:hAnsi="宋体" w:eastAsia="宋体" w:cs="宋体"/>
                <w:sz w:val="20"/>
                <w:szCs w:val="20"/>
                <w:highlight w:val="none"/>
                <w:lang w:val="es-AR" w:eastAsia="zh-CN" w:bidi="ne-NP"/>
              </w:rPr>
              <w:t>、</w:t>
            </w:r>
            <w:r>
              <w:rPr>
                <w:rFonts w:hint="eastAsia" w:ascii="宋体" w:hAnsi="宋体" w:eastAsia="宋体" w:cs="宋体"/>
                <w:sz w:val="20"/>
                <w:szCs w:val="20"/>
                <w:highlight w:val="none"/>
                <w:lang w:val="es-AR" w:bidi="ne-NP"/>
              </w:rPr>
              <w:t>课堂实录精剪</w:t>
            </w:r>
            <w:r>
              <w:rPr>
                <w:rFonts w:hint="eastAsia" w:ascii="宋体" w:hAnsi="宋体" w:eastAsia="宋体" w:cs="宋体"/>
                <w:sz w:val="20"/>
                <w:szCs w:val="20"/>
                <w:highlight w:val="none"/>
                <w:lang w:val="es-AR" w:eastAsia="zh-CN" w:bidi="ne-N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6" w:hRule="atLeast"/>
        </w:trPr>
        <w:tc>
          <w:tcPr>
            <w:tcW w:w="1137" w:type="dxa"/>
            <w:vMerge w:val="continue"/>
            <w:tcBorders>
              <w:left w:val="single" w:color="000000" w:sz="4" w:space="0"/>
              <w:right w:val="single" w:color="000000" w:sz="4" w:space="0"/>
            </w:tcBorders>
            <w:noWrap w:val="0"/>
            <w:vAlign w:val="center"/>
          </w:tcPr>
          <w:p>
            <w:pPr>
              <w:snapToGrid w:val="0"/>
              <w:jc w:val="center"/>
              <w:rPr>
                <w:rStyle w:val="35"/>
                <w:rFonts w:hint="eastAsia" w:ascii="宋体" w:hAnsi="宋体" w:cs="宋体"/>
                <w:sz w:val="20"/>
                <w:szCs w:val="20"/>
              </w:rPr>
            </w:pPr>
          </w:p>
        </w:tc>
        <w:tc>
          <w:tcPr>
            <w:tcW w:w="1715"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Style w:val="35"/>
                <w:rFonts w:hint="eastAsia" w:ascii="宋体" w:hAnsi="宋体" w:cs="宋体"/>
                <w:sz w:val="20"/>
                <w:szCs w:val="20"/>
              </w:rPr>
            </w:pPr>
            <w:r>
              <w:rPr>
                <w:rFonts w:hint="eastAsia" w:ascii="宋体" w:hAnsi="宋体" w:eastAsia="宋体" w:cs="宋体"/>
                <w:i w:val="0"/>
                <w:iCs w:val="0"/>
                <w:color w:val="000000"/>
                <w:kern w:val="0"/>
                <w:sz w:val="20"/>
                <w:szCs w:val="20"/>
                <w:u w:val="none"/>
                <w:lang w:val="en-US" w:eastAsia="zh-CN" w:bidi="ar"/>
              </w:rPr>
              <w:t>教师教学能力</w:t>
            </w:r>
            <w:r>
              <w:rPr>
                <w:rFonts w:hint="eastAsia" w:ascii="宋体" w:hAnsi="宋体" w:cs="宋体"/>
                <w:i w:val="0"/>
                <w:iCs w:val="0"/>
                <w:color w:val="000000"/>
                <w:kern w:val="0"/>
                <w:sz w:val="20"/>
                <w:szCs w:val="20"/>
                <w:u w:val="none"/>
                <w:lang w:val="en-US" w:eastAsia="zh-CN" w:bidi="ar"/>
              </w:rPr>
              <w:t>提升</w:t>
            </w:r>
          </w:p>
        </w:tc>
        <w:tc>
          <w:tcPr>
            <w:tcW w:w="7003" w:type="dxa"/>
            <w:tcBorders>
              <w:top w:val="single" w:color="000000" w:sz="4" w:space="0"/>
              <w:left w:val="single" w:color="000000" w:sz="4" w:space="0"/>
              <w:bottom w:val="single" w:color="000000" w:sz="4" w:space="0"/>
              <w:right w:val="single" w:color="000000" w:sz="4" w:space="0"/>
            </w:tcBorders>
            <w:noWrap w:val="0"/>
            <w:vAlign w:val="top"/>
          </w:tcPr>
          <w:p>
            <w:pPr>
              <w:snapToGrid w:val="0"/>
              <w:rPr>
                <w:rFonts w:hint="eastAsia" w:ascii="宋体" w:hAnsi="宋体" w:cs="宋体"/>
                <w:sz w:val="20"/>
                <w:szCs w:val="20"/>
                <w:lang w:val="es-AR" w:bidi="ne-NP"/>
              </w:rPr>
            </w:pPr>
            <w:r>
              <w:rPr>
                <w:rFonts w:hint="eastAsia" w:ascii="宋体" w:hAnsi="宋体" w:cs="宋体"/>
                <w:sz w:val="20"/>
                <w:szCs w:val="20"/>
                <w:lang w:val="en-US" w:eastAsia="zh-CN" w:bidi="ne-NP"/>
              </w:rPr>
              <w:t>1.</w:t>
            </w:r>
            <w:r>
              <w:rPr>
                <w:rFonts w:hint="eastAsia" w:ascii="宋体" w:hAnsi="宋体" w:cs="宋体"/>
                <w:sz w:val="20"/>
                <w:szCs w:val="20"/>
                <w:lang w:val="es-AR" w:bidi="ne-NP"/>
              </w:rPr>
              <w:t>承诺课程建设前期和后期，</w:t>
            </w:r>
            <w:r>
              <w:rPr>
                <w:rFonts w:hint="eastAsia" w:ascii="宋体" w:hAnsi="宋体" w:cs="宋体"/>
                <w:sz w:val="20"/>
                <w:szCs w:val="20"/>
              </w:rPr>
              <w:t>有专业人员辅助老师</w:t>
            </w:r>
            <w:r>
              <w:rPr>
                <w:rFonts w:hint="eastAsia" w:ascii="宋体" w:hAnsi="宋体" w:cs="宋体"/>
                <w:sz w:val="20"/>
                <w:szCs w:val="20"/>
                <w:lang w:val="es-AR" w:bidi="ne-NP"/>
              </w:rPr>
              <w:t>就课程如何书写脚本，如何进行教学设计，</w:t>
            </w:r>
            <w:r>
              <w:rPr>
                <w:rFonts w:hint="eastAsia" w:ascii="宋体" w:hAnsi="宋体" w:cs="宋体"/>
                <w:sz w:val="20"/>
                <w:szCs w:val="20"/>
                <w:lang w:bidi="ne-NP"/>
              </w:rPr>
              <w:t>章节计划、学时学分换算、</w:t>
            </w:r>
            <w:r>
              <w:rPr>
                <w:rFonts w:hint="eastAsia" w:ascii="宋体" w:hAnsi="宋体" w:cs="宋体"/>
                <w:sz w:val="20"/>
                <w:szCs w:val="20"/>
                <w:lang w:val="es-AR" w:bidi="ne-NP"/>
              </w:rPr>
              <w:t>资源如何上传，</w:t>
            </w:r>
            <w:r>
              <w:rPr>
                <w:rFonts w:hint="eastAsia" w:ascii="宋体" w:hAnsi="宋体" w:cs="宋体"/>
                <w:sz w:val="20"/>
                <w:szCs w:val="20"/>
                <w:lang w:bidi="ne-NP"/>
              </w:rPr>
              <w:t>如何配备习题和考试等，</w:t>
            </w:r>
            <w:r>
              <w:rPr>
                <w:rFonts w:hint="eastAsia" w:ascii="宋体" w:hAnsi="宋体" w:cs="宋体"/>
                <w:sz w:val="20"/>
                <w:szCs w:val="20"/>
                <w:lang w:val="es-AR" w:bidi="ne-NP"/>
              </w:rPr>
              <w:t>课程如何按照</w:t>
            </w:r>
            <w:r>
              <w:rPr>
                <w:rFonts w:hint="eastAsia" w:ascii="宋体" w:hAnsi="宋体" w:cs="宋体"/>
                <w:sz w:val="20"/>
                <w:szCs w:val="20"/>
                <w:lang w:bidi="ne-NP"/>
              </w:rPr>
              <w:t>一流课程</w:t>
            </w:r>
            <w:r>
              <w:rPr>
                <w:rFonts w:hint="eastAsia" w:ascii="宋体" w:hAnsi="宋体" w:cs="宋体"/>
                <w:sz w:val="20"/>
                <w:szCs w:val="20"/>
                <w:lang w:val="es-AR" w:bidi="ne-NP"/>
              </w:rPr>
              <w:t>进行运行、教学等内容，免费培训老师，不限制培训次数，直至学会，并有专人对接。</w:t>
            </w:r>
          </w:p>
          <w:p>
            <w:pPr>
              <w:snapToGrid w:val="0"/>
              <w:rPr>
                <w:rStyle w:val="36"/>
                <w:rFonts w:hint="default" w:ascii="宋体" w:hAnsi="宋体" w:eastAsia="宋体" w:cs="宋体"/>
                <w:sz w:val="20"/>
                <w:szCs w:val="20"/>
                <w:lang w:val="en-US" w:eastAsia="zh-CN"/>
              </w:rPr>
            </w:pPr>
            <w:r>
              <w:rPr>
                <w:rFonts w:hint="eastAsia" w:ascii="宋体" w:hAnsi="宋体" w:cs="宋体"/>
                <w:sz w:val="20"/>
                <w:szCs w:val="20"/>
                <w:lang w:val="en-US" w:eastAsia="zh-CN" w:bidi="ne-NP"/>
              </w:rPr>
              <w:t>2.</w:t>
            </w:r>
            <w:r>
              <w:rPr>
                <w:rFonts w:hint="eastAsia" w:ascii="宋体" w:hAnsi="宋体" w:eastAsia="宋体" w:cs="宋体"/>
                <w:i w:val="0"/>
                <w:iCs w:val="0"/>
                <w:color w:val="000000"/>
                <w:kern w:val="0"/>
                <w:sz w:val="20"/>
                <w:szCs w:val="20"/>
                <w:u w:val="none"/>
                <w:lang w:val="en-US" w:eastAsia="zh-CN" w:bidi="ar"/>
              </w:rPr>
              <w:t>在课程建设前期、申报环节，提供</w:t>
            </w: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次专家从一流课程、课程思政、教学创新大赛的等方面</w:t>
            </w:r>
            <w:r>
              <w:rPr>
                <w:rFonts w:hint="eastAsia" w:ascii="宋体" w:hAnsi="宋体" w:cs="宋体"/>
                <w:i w:val="0"/>
                <w:iCs w:val="0"/>
                <w:color w:val="000000"/>
                <w:kern w:val="0"/>
                <w:sz w:val="20"/>
                <w:szCs w:val="20"/>
                <w:u w:val="none"/>
                <w:lang w:val="en-US" w:eastAsia="zh-CN" w:bidi="ar"/>
              </w:rPr>
              <w:t>进行指导培训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trPr>
        <w:tc>
          <w:tcPr>
            <w:tcW w:w="1137" w:type="dxa"/>
            <w:vMerge w:val="continue"/>
            <w:tcBorders>
              <w:left w:val="single" w:color="000000" w:sz="4" w:space="0"/>
              <w:right w:val="single" w:color="000000" w:sz="4" w:space="0"/>
            </w:tcBorders>
            <w:noWrap w:val="0"/>
            <w:vAlign w:val="center"/>
          </w:tcPr>
          <w:p>
            <w:pPr>
              <w:snapToGrid w:val="0"/>
              <w:jc w:val="center"/>
              <w:rPr>
                <w:rStyle w:val="35"/>
                <w:rFonts w:hint="eastAsia" w:ascii="宋体" w:hAnsi="宋体" w:cs="宋体"/>
                <w:sz w:val="20"/>
                <w:szCs w:val="20"/>
              </w:rPr>
            </w:pPr>
          </w:p>
        </w:tc>
        <w:tc>
          <w:tcPr>
            <w:tcW w:w="1715" w:type="dxa"/>
            <w:tcBorders>
              <w:top w:val="single" w:color="000000" w:sz="4" w:space="0"/>
              <w:left w:val="single" w:color="000000" w:sz="4" w:space="0"/>
              <w:right w:val="single" w:color="000000" w:sz="4" w:space="0"/>
            </w:tcBorders>
            <w:noWrap w:val="0"/>
            <w:vAlign w:val="center"/>
          </w:tcPr>
          <w:p>
            <w:pPr>
              <w:snapToGrid w:val="0"/>
              <w:jc w:val="center"/>
              <w:rPr>
                <w:rFonts w:hint="eastAsia" w:ascii="宋体" w:hAnsi="宋体" w:cs="宋体"/>
                <w:sz w:val="20"/>
                <w:szCs w:val="20"/>
                <w:lang w:val="es-AR" w:bidi="ne-NP"/>
              </w:rPr>
            </w:pPr>
            <w:r>
              <w:rPr>
                <w:rFonts w:hint="eastAsia" w:ascii="宋体" w:hAnsi="宋体" w:eastAsia="宋体" w:cs="宋体"/>
                <w:i w:val="0"/>
                <w:iCs w:val="0"/>
                <w:color w:val="000000"/>
                <w:kern w:val="0"/>
                <w:sz w:val="20"/>
                <w:szCs w:val="20"/>
                <w:u w:val="none"/>
                <w:lang w:val="en-US" w:eastAsia="zh-CN" w:bidi="ar"/>
              </w:rPr>
              <w:t>课程建设服务</w:t>
            </w:r>
          </w:p>
        </w:tc>
        <w:tc>
          <w:tcPr>
            <w:tcW w:w="7003" w:type="dxa"/>
            <w:tcBorders>
              <w:top w:val="single" w:color="000000" w:sz="4" w:space="0"/>
              <w:left w:val="single" w:color="000000" w:sz="4" w:space="0"/>
              <w:bottom w:val="single" w:color="000000" w:sz="4" w:space="0"/>
              <w:right w:val="single" w:color="000000" w:sz="4" w:space="0"/>
            </w:tcBorders>
            <w:noWrap w:val="0"/>
            <w:vAlign w:val="top"/>
          </w:tcPr>
          <w:p>
            <w:pPr>
              <w:snapToGrid w:val="0"/>
              <w:rPr>
                <w:rFonts w:hint="eastAsia" w:ascii="宋体" w:hAnsi="宋体" w:eastAsia="宋体" w:cs="宋体"/>
                <w:sz w:val="20"/>
                <w:szCs w:val="20"/>
                <w:lang w:eastAsia="zh-CN" w:bidi="ne-NP"/>
              </w:rPr>
            </w:pPr>
            <w:r>
              <w:rPr>
                <w:rFonts w:hint="eastAsia" w:ascii="宋体" w:hAnsi="宋体" w:cs="宋体"/>
                <w:sz w:val="20"/>
                <w:szCs w:val="20"/>
                <w:lang w:val="es-AR" w:bidi="ne-NP"/>
              </w:rPr>
              <w:t>在教学平台上按照课程教学计划建设完整线上课程，</w:t>
            </w:r>
            <w:r>
              <w:rPr>
                <w:rFonts w:hint="eastAsia" w:ascii="宋体" w:hAnsi="宋体" w:cs="宋体"/>
                <w:sz w:val="20"/>
                <w:szCs w:val="20"/>
              </w:rPr>
              <w:t>有专业人员辅助老师</w:t>
            </w:r>
            <w:r>
              <w:rPr>
                <w:rFonts w:hint="eastAsia" w:ascii="宋体" w:hAnsi="宋体" w:cs="宋体"/>
                <w:sz w:val="20"/>
                <w:szCs w:val="20"/>
                <w:lang w:val="es-AR" w:bidi="ne-NP"/>
              </w:rPr>
              <w:t>包括：课程门户完善：课程简介、教学团队介绍、学时学分、课程教学目标、参考教材等</w:t>
            </w:r>
            <w:r>
              <w:rPr>
                <w:rFonts w:hint="eastAsia" w:ascii="宋体" w:hAnsi="宋体" w:cs="宋体"/>
                <w:sz w:val="20"/>
                <w:szCs w:val="20"/>
                <w:lang w:val="es-AR" w:eastAsia="zh-CN" w:bidi="ne-N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1137" w:type="dxa"/>
            <w:vMerge w:val="continue"/>
            <w:tcBorders>
              <w:left w:val="single" w:color="000000" w:sz="4" w:space="0"/>
              <w:right w:val="single" w:color="000000" w:sz="4" w:space="0"/>
            </w:tcBorders>
            <w:noWrap w:val="0"/>
            <w:vAlign w:val="center"/>
          </w:tcPr>
          <w:p>
            <w:pPr>
              <w:snapToGrid w:val="0"/>
              <w:jc w:val="center"/>
              <w:rPr>
                <w:rStyle w:val="35"/>
                <w:rFonts w:hint="eastAsia" w:ascii="宋体" w:hAnsi="宋体" w:cs="宋体"/>
                <w:sz w:val="20"/>
                <w:szCs w:val="20"/>
              </w:rPr>
            </w:pPr>
          </w:p>
        </w:tc>
        <w:tc>
          <w:tcPr>
            <w:tcW w:w="1715" w:type="dxa"/>
            <w:tcBorders>
              <w:top w:val="single" w:color="000000" w:sz="4" w:space="0"/>
              <w:left w:val="single" w:color="000000" w:sz="4" w:space="0"/>
              <w:right w:val="single" w:color="000000" w:sz="4" w:space="0"/>
            </w:tcBorders>
            <w:noWrap w:val="0"/>
            <w:vAlign w:val="center"/>
          </w:tcPr>
          <w:p>
            <w:pPr>
              <w:snapToGrid w:val="0"/>
              <w:jc w:val="center"/>
              <w:rPr>
                <w:rFonts w:hint="eastAsia" w:ascii="宋体" w:hAnsi="宋体" w:eastAsia="宋体" w:cs="宋体"/>
                <w:sz w:val="20"/>
                <w:szCs w:val="20"/>
                <w:lang w:val="en-US" w:eastAsia="zh-CN" w:bidi="ne-NP"/>
              </w:rPr>
            </w:pPr>
            <w:r>
              <w:rPr>
                <w:rFonts w:hint="eastAsia" w:ascii="宋体" w:hAnsi="宋体" w:cs="宋体"/>
                <w:sz w:val="20"/>
                <w:szCs w:val="20"/>
                <w:lang w:val="es-AR" w:bidi="ne-NP"/>
              </w:rPr>
              <w:t>课程运行</w:t>
            </w:r>
            <w:r>
              <w:rPr>
                <w:rFonts w:hint="eastAsia" w:ascii="宋体" w:hAnsi="宋体" w:cs="宋体"/>
                <w:sz w:val="20"/>
                <w:szCs w:val="20"/>
                <w:lang w:val="en-US" w:eastAsia="zh-CN" w:bidi="ne-NP"/>
              </w:rPr>
              <w:t>服务</w:t>
            </w:r>
          </w:p>
        </w:tc>
        <w:tc>
          <w:tcPr>
            <w:tcW w:w="7003" w:type="dxa"/>
            <w:tcBorders>
              <w:top w:val="single" w:color="000000" w:sz="4" w:space="0"/>
              <w:left w:val="single" w:color="000000" w:sz="4" w:space="0"/>
              <w:bottom w:val="single" w:color="000000" w:sz="4" w:space="0"/>
              <w:right w:val="single" w:color="000000" w:sz="4" w:space="0"/>
            </w:tcBorders>
            <w:noWrap w:val="0"/>
            <w:vAlign w:val="top"/>
          </w:tcPr>
          <w:p>
            <w:pPr>
              <w:snapToGrid w:val="0"/>
              <w:rPr>
                <w:rFonts w:hint="eastAsia" w:ascii="宋体" w:hAnsi="宋体" w:cs="宋体"/>
                <w:sz w:val="20"/>
                <w:szCs w:val="20"/>
                <w:lang w:val="es-AR" w:bidi="ne-NP"/>
              </w:rPr>
            </w:pPr>
            <w:r>
              <w:rPr>
                <w:rFonts w:hint="eastAsia" w:ascii="宋体" w:hAnsi="宋体" w:cs="宋体"/>
                <w:sz w:val="20"/>
                <w:szCs w:val="20"/>
                <w:lang w:val="es-AR" w:bidi="ne-NP"/>
              </w:rPr>
              <w:t>1．根据教育部关于一流本科课程建设的实施意见，有专业人员协助课程团队制定课程运行计划，包括课程成绩权重设置，混合式教学设计，定期提供线上运行数据，根据数据督促教学团队加强该部分教学运行。</w:t>
            </w:r>
          </w:p>
          <w:p>
            <w:pPr>
              <w:snapToGrid w:val="0"/>
              <w:rPr>
                <w:rFonts w:hint="eastAsia" w:ascii="宋体" w:hAnsi="宋体" w:cs="宋体"/>
                <w:sz w:val="20"/>
                <w:szCs w:val="20"/>
                <w:lang w:val="es-AR" w:bidi="ne-NP"/>
              </w:rPr>
            </w:pPr>
            <w:r>
              <w:rPr>
                <w:rFonts w:hint="eastAsia" w:ascii="宋体" w:hAnsi="宋体" w:cs="宋体"/>
                <w:sz w:val="20"/>
                <w:szCs w:val="20"/>
                <w:lang w:val="es-AR" w:bidi="ne-NP"/>
              </w:rPr>
              <w:t>2.根据混合式运行方案，课前协助教师将预设教学活动添加至学习工具中，并关注教学活动使用中师生对教学工具的技术问题；</w:t>
            </w:r>
          </w:p>
          <w:p>
            <w:pPr>
              <w:snapToGrid w:val="0"/>
              <w:rPr>
                <w:rFonts w:hint="eastAsia" w:ascii="宋体" w:hAnsi="宋体" w:cs="宋体"/>
                <w:sz w:val="20"/>
                <w:szCs w:val="20"/>
                <w:lang w:val="es-AR" w:bidi="ne-NP"/>
              </w:rPr>
            </w:pPr>
            <w:r>
              <w:rPr>
                <w:rFonts w:hint="eastAsia" w:ascii="宋体" w:hAnsi="宋体" w:cs="宋体"/>
                <w:sz w:val="20"/>
                <w:szCs w:val="20"/>
                <w:lang w:val="es-AR" w:bidi="ne-NP"/>
              </w:rPr>
              <w:t>3.教学效果与评价：注重教学任务与活动设计，通过在线测试、线上辅助答疑、线上线下讨论、线上作业提交和批改等，促进问题交流和协作学习，提高学习效果。</w:t>
            </w:r>
          </w:p>
          <w:p>
            <w:pPr>
              <w:snapToGrid w:val="0"/>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sz w:val="20"/>
                <w:szCs w:val="20"/>
                <w:lang w:val="en-US" w:eastAsia="zh-CN" w:bidi="ne-NP"/>
              </w:rPr>
              <w:t>4.</w:t>
            </w:r>
            <w:r>
              <w:rPr>
                <w:rFonts w:hint="eastAsia" w:ascii="宋体" w:hAnsi="宋体" w:eastAsia="宋体" w:cs="宋体"/>
                <w:i w:val="0"/>
                <w:iCs w:val="0"/>
                <w:color w:val="000000"/>
                <w:kern w:val="0"/>
                <w:sz w:val="20"/>
                <w:szCs w:val="20"/>
                <w:u w:val="none"/>
                <w:lang w:val="en-US" w:eastAsia="zh-CN" w:bidi="ar"/>
              </w:rPr>
              <w:t>按照课程建设标准指定运行课程，优化诊改课程运行数据，课堂教学设计现场服务；提供课程运行数据，提供一流课程案例参考，协助进行各类比赛的运行与申报</w:t>
            </w:r>
          </w:p>
          <w:p>
            <w:pPr>
              <w:snapToGrid w:val="0"/>
              <w:rPr>
                <w:rFonts w:hint="eastAsia" w:ascii="宋体" w:hAnsi="宋体" w:cs="宋体"/>
                <w:sz w:val="20"/>
                <w:szCs w:val="20"/>
                <w:lang w:val="es-AR" w:bidi="ne-NP"/>
              </w:rPr>
            </w:pPr>
            <w:r>
              <w:rPr>
                <w:rStyle w:val="36"/>
                <w:rFonts w:hint="eastAsia" w:ascii="宋体" w:hAnsi="宋体" w:cs="宋体"/>
                <w:sz w:val="20"/>
                <w:szCs w:val="20"/>
              </w:rPr>
              <w:t>★</w:t>
            </w:r>
            <w:r>
              <w:rPr>
                <w:rFonts w:hint="eastAsia" w:ascii="宋体" w:hAnsi="宋体" w:eastAsia="宋体" w:cs="宋体"/>
                <w:i w:val="0"/>
                <w:iCs w:val="0"/>
                <w:color w:val="000000"/>
                <w:kern w:val="0"/>
                <w:sz w:val="20"/>
                <w:szCs w:val="20"/>
                <w:u w:val="none"/>
                <w:lang w:val="en-US" w:eastAsia="zh-CN" w:bidi="ar"/>
              </w:rPr>
              <w:t>5.</w:t>
            </w:r>
            <w:r>
              <w:rPr>
                <w:rFonts w:hint="eastAsia" w:ascii="宋体" w:hAnsi="宋体" w:cs="宋体"/>
                <w:sz w:val="20"/>
                <w:szCs w:val="20"/>
                <w:lang w:val="es-AR" w:bidi="ne-NP"/>
              </w:rPr>
              <w:t>提供课程运行质量报告，每一学期结束提供课程质量分析报告，包括整门课程的运行数据（课程视频资源数量，非视频资源数理，题库的题量，课程公告数量，学生人数、课程发布作业次数、发布考试次数、课程中教师发布讨论数量，学生发布讨论数量、课程通过学生人数等），详细地分析课程的运行数据，为下学期的课程运行提供教学优化方案。</w:t>
            </w:r>
          </w:p>
          <w:p>
            <w:pPr>
              <w:snapToGrid w:val="0"/>
              <w:rPr>
                <w:rFonts w:hint="default" w:eastAsia="宋体"/>
                <w:lang w:val="en-US" w:eastAsia="zh-CN"/>
              </w:rPr>
            </w:pPr>
            <w:r>
              <w:rPr>
                <w:rFonts w:hint="eastAsia" w:ascii="宋体" w:hAnsi="宋体" w:cs="宋体"/>
                <w:sz w:val="20"/>
                <w:szCs w:val="20"/>
                <w:lang w:val="en-US" w:eastAsia="zh-CN" w:bidi="ne-NP"/>
              </w:rPr>
              <w:t>6.</w:t>
            </w:r>
            <w:r>
              <w:rPr>
                <w:rFonts w:hint="eastAsia" w:ascii="宋体" w:hAnsi="宋体" w:cs="宋体"/>
                <w:sz w:val="20"/>
                <w:szCs w:val="20"/>
                <w:lang w:val="es-AR" w:eastAsia="zh-CN" w:bidi="ne-NP"/>
              </w:rPr>
              <w:t>提供专门的 APP 移动客户端，需支持 iOS 和 Android 系统。与教学系统能够对接，进行在线课程的学习、作业、考试、讨论、笔记、小组、成绩分析、学生管理， 支持课堂签到、抢答、问卷、讨论、选人、资料、直播等功能。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1137" w:type="dxa"/>
            <w:vMerge w:val="continue"/>
            <w:tcBorders>
              <w:left w:val="single" w:color="000000" w:sz="4" w:space="0"/>
              <w:right w:val="single" w:color="000000" w:sz="4" w:space="0"/>
            </w:tcBorders>
            <w:noWrap w:val="0"/>
            <w:vAlign w:val="center"/>
          </w:tcPr>
          <w:p>
            <w:pPr>
              <w:snapToGrid w:val="0"/>
              <w:jc w:val="center"/>
              <w:rPr>
                <w:rStyle w:val="35"/>
                <w:rFonts w:hint="eastAsia" w:ascii="宋体" w:hAnsi="宋体" w:cs="宋体"/>
                <w:sz w:val="20"/>
                <w:szCs w:val="20"/>
              </w:rPr>
            </w:pPr>
          </w:p>
        </w:tc>
        <w:tc>
          <w:tcPr>
            <w:tcW w:w="1715" w:type="dxa"/>
            <w:tcBorders>
              <w:top w:val="single" w:color="000000" w:sz="4" w:space="0"/>
              <w:left w:val="single" w:color="000000" w:sz="4" w:space="0"/>
              <w:right w:val="single" w:color="000000" w:sz="4" w:space="0"/>
            </w:tcBorders>
            <w:noWrap w:val="0"/>
            <w:vAlign w:val="center"/>
          </w:tcPr>
          <w:p>
            <w:pPr>
              <w:snapToGrid w:val="0"/>
              <w:jc w:val="center"/>
              <w:rPr>
                <w:rFonts w:hint="eastAsia" w:ascii="宋体" w:hAnsi="宋体" w:cs="宋体"/>
                <w:sz w:val="20"/>
                <w:szCs w:val="20"/>
                <w:lang w:val="es-AR" w:bidi="ne-NP"/>
              </w:rPr>
            </w:pPr>
            <w:r>
              <w:rPr>
                <w:rFonts w:hint="eastAsia" w:ascii="宋体" w:hAnsi="宋体" w:eastAsia="宋体" w:cs="宋体"/>
                <w:i w:val="0"/>
                <w:iCs w:val="0"/>
                <w:color w:val="000000"/>
                <w:kern w:val="0"/>
                <w:sz w:val="20"/>
                <w:szCs w:val="20"/>
                <w:u w:val="none"/>
                <w:lang w:val="en-US" w:eastAsia="zh-CN" w:bidi="ar"/>
              </w:rPr>
              <w:t>知识图谱</w:t>
            </w:r>
            <w:r>
              <w:rPr>
                <w:rFonts w:hint="eastAsia" w:ascii="宋体" w:hAnsi="宋体" w:cs="宋体"/>
                <w:i w:val="0"/>
                <w:iCs w:val="0"/>
                <w:color w:val="000000"/>
                <w:kern w:val="0"/>
                <w:sz w:val="20"/>
                <w:szCs w:val="20"/>
                <w:u w:val="none"/>
                <w:lang w:val="en-US" w:eastAsia="zh-CN" w:bidi="ar"/>
              </w:rPr>
              <w:t>建设与培训</w:t>
            </w:r>
          </w:p>
        </w:tc>
        <w:tc>
          <w:tcPr>
            <w:tcW w:w="7003" w:type="dxa"/>
            <w:tcBorders>
              <w:top w:val="single" w:color="000000" w:sz="4" w:space="0"/>
              <w:left w:val="single" w:color="000000" w:sz="4" w:space="0"/>
              <w:bottom w:val="single" w:color="000000" w:sz="4" w:space="0"/>
              <w:right w:val="single" w:color="000000" w:sz="4" w:space="0"/>
            </w:tcBorders>
            <w:noWrap w:val="0"/>
            <w:vAlign w:val="top"/>
          </w:tcPr>
          <w:p>
            <w:pPr>
              <w:rPr>
                <w:rStyle w:val="36"/>
                <w:rFonts w:hint="eastAsia" w:ascii="宋体" w:hAnsi="宋体" w:cs="宋体" w:eastAsiaTheme="minorEastAsia"/>
                <w:b/>
                <w:bCs/>
                <w:sz w:val="20"/>
                <w:szCs w:val="20"/>
                <w:lang w:val="en-US" w:eastAsia="zh-CN"/>
              </w:rPr>
            </w:pPr>
            <w:r>
              <w:rPr>
                <w:rStyle w:val="36"/>
                <w:rFonts w:hint="eastAsia" w:ascii="宋体" w:hAnsi="宋体" w:cs="宋体" w:eastAsiaTheme="minorEastAsia"/>
                <w:b/>
                <w:bCs/>
                <w:sz w:val="20"/>
                <w:szCs w:val="20"/>
                <w:lang w:val="en-US" w:eastAsia="zh-CN"/>
              </w:rPr>
              <w:t>一、总体要求：</w:t>
            </w:r>
          </w:p>
          <w:p>
            <w:pPr>
              <w:rPr>
                <w:rStyle w:val="36"/>
                <w:rFonts w:hint="default" w:ascii="宋体" w:hAnsi="宋体" w:cs="宋体" w:eastAsiaTheme="minorEastAsia"/>
                <w:sz w:val="20"/>
                <w:szCs w:val="20"/>
                <w:lang w:val="en-US" w:eastAsia="zh-CN"/>
              </w:rPr>
            </w:pPr>
            <w:r>
              <w:rPr>
                <w:rStyle w:val="36"/>
                <w:rFonts w:hint="eastAsia" w:ascii="宋体" w:hAnsi="宋体" w:cs="宋体" w:eastAsiaTheme="minorEastAsia"/>
                <w:sz w:val="20"/>
                <w:szCs w:val="20"/>
                <w:lang w:val="en-US" w:eastAsia="zh-CN"/>
              </w:rPr>
              <w:t>1.</w:t>
            </w:r>
            <w:r>
              <w:rPr>
                <w:rStyle w:val="36"/>
                <w:rFonts w:hint="eastAsia" w:ascii="宋体" w:hAnsi="宋体" w:cs="宋体" w:eastAsiaTheme="minorEastAsia"/>
                <w:sz w:val="20"/>
                <w:szCs w:val="20"/>
                <w:lang w:eastAsia="zh-CN"/>
              </w:rPr>
              <w:t>供应商了解高校本科教学规律，具备课程设计的能力。</w:t>
            </w:r>
            <w:r>
              <w:rPr>
                <w:rStyle w:val="36"/>
                <w:rFonts w:hint="eastAsia" w:ascii="宋体" w:hAnsi="宋体" w:cs="宋体" w:eastAsiaTheme="minorEastAsia"/>
                <w:sz w:val="20"/>
                <w:szCs w:val="20"/>
                <w:lang w:val="en-US" w:eastAsia="zh-CN"/>
              </w:rPr>
              <w:t>提供的知识图谱平台需要与</w:t>
            </w:r>
            <w:r>
              <w:rPr>
                <w:rFonts w:hint="eastAsia" w:ascii="宋体" w:hAnsi="宋体" w:eastAsia="宋体" w:cs="宋体"/>
                <w:snapToGrid w:val="0"/>
                <w:color w:val="000000"/>
                <w:kern w:val="0"/>
                <w:sz w:val="20"/>
                <w:szCs w:val="20"/>
                <w:lang w:val="en-US" w:eastAsia="zh-CN"/>
              </w:rPr>
              <w:t>校本教学一体化平台整合对接。</w:t>
            </w:r>
          </w:p>
          <w:p>
            <w:pPr>
              <w:rPr>
                <w:rStyle w:val="36"/>
                <w:rFonts w:hint="default" w:ascii="宋体" w:hAnsi="宋体" w:cs="宋体" w:eastAsiaTheme="minorEastAsia"/>
                <w:sz w:val="20"/>
                <w:szCs w:val="20"/>
                <w:lang w:val="en-US" w:eastAsia="zh-CN"/>
              </w:rPr>
            </w:pPr>
            <w:r>
              <w:rPr>
                <w:rStyle w:val="36"/>
                <w:rFonts w:hint="eastAsia" w:ascii="宋体" w:hAnsi="宋体" w:cs="宋体" w:eastAsiaTheme="minorEastAsia"/>
                <w:sz w:val="20"/>
                <w:szCs w:val="20"/>
                <w:lang w:val="en-US" w:eastAsia="zh-CN"/>
              </w:rPr>
              <w:t>2</w:t>
            </w:r>
            <w:r>
              <w:rPr>
                <w:rStyle w:val="36"/>
                <w:rFonts w:hint="eastAsia" w:ascii="宋体" w:hAnsi="宋体" w:cs="宋体" w:eastAsiaTheme="minorEastAsia"/>
                <w:sz w:val="20"/>
                <w:szCs w:val="20"/>
                <w:lang w:eastAsia="zh-CN"/>
              </w:rPr>
              <w:t>.供应商协助课程教师团队进行</w:t>
            </w:r>
            <w:r>
              <w:rPr>
                <w:rStyle w:val="36"/>
                <w:rFonts w:hint="eastAsia" w:ascii="宋体" w:hAnsi="宋体" w:cs="宋体" w:eastAsiaTheme="minorEastAsia"/>
                <w:sz w:val="20"/>
                <w:szCs w:val="20"/>
                <w:lang w:val="en-US" w:eastAsia="zh-CN"/>
              </w:rPr>
              <w:t>知识图谱</w:t>
            </w:r>
            <w:r>
              <w:rPr>
                <w:rStyle w:val="36"/>
                <w:rFonts w:hint="eastAsia" w:ascii="宋体" w:hAnsi="宋体" w:cs="宋体" w:eastAsiaTheme="minorEastAsia"/>
                <w:sz w:val="20"/>
                <w:szCs w:val="20"/>
                <w:lang w:eastAsia="zh-CN"/>
              </w:rPr>
              <w:t>设计培训，专业课程顾问与老师深度沟通，收集课程相关资料。</w:t>
            </w:r>
          </w:p>
          <w:p>
            <w:pPr>
              <w:rPr>
                <w:rStyle w:val="36"/>
                <w:rFonts w:hint="eastAsia" w:ascii="宋体" w:hAnsi="宋体" w:cs="宋体"/>
                <w:sz w:val="20"/>
                <w:szCs w:val="20"/>
              </w:rPr>
            </w:pPr>
            <w:r>
              <w:rPr>
                <w:rStyle w:val="36"/>
                <w:rFonts w:hint="eastAsia" w:ascii="宋体" w:hAnsi="宋体" w:cs="宋体" w:eastAsiaTheme="minorEastAsia"/>
                <w:sz w:val="20"/>
                <w:szCs w:val="20"/>
                <w:lang w:val="en-US" w:eastAsia="zh-CN"/>
              </w:rPr>
              <w:t>3</w:t>
            </w:r>
            <w:r>
              <w:rPr>
                <w:rStyle w:val="36"/>
                <w:rFonts w:hint="eastAsia" w:ascii="宋体" w:hAnsi="宋体" w:cs="宋体" w:eastAsiaTheme="minorEastAsia"/>
                <w:sz w:val="20"/>
                <w:szCs w:val="20"/>
              </w:rPr>
              <w:t>.以课程为单位，构建知识图谱，为教师构建一个更高效地组织、利用并能持续更新扩展平台；为学生提供一个更好获取和理解课程知识体系的平台。实现通过构建智慧课程知识图谱，并且按照知识点粒度重组教学资源，并利用课程知识图谱串联整个教学过程，为个性、开放、精准的智能教育服务</w:t>
            </w:r>
            <w:r>
              <w:rPr>
                <w:rStyle w:val="36"/>
                <w:rFonts w:hint="eastAsia" w:ascii="宋体" w:hAnsi="宋体" w:cs="宋体"/>
                <w:sz w:val="20"/>
                <w:szCs w:val="20"/>
              </w:rPr>
              <w:t>提供基础支撑。</w:t>
            </w:r>
          </w:p>
          <w:p>
            <w:pPr>
              <w:rPr>
                <w:rStyle w:val="36"/>
                <w:rFonts w:hint="eastAsia" w:ascii="宋体" w:hAnsi="宋体" w:cs="宋体" w:eastAsiaTheme="minorEastAsia"/>
                <w:b/>
                <w:bCs/>
                <w:sz w:val="20"/>
                <w:szCs w:val="20"/>
                <w:lang w:val="en-US" w:eastAsia="zh-CN"/>
              </w:rPr>
            </w:pPr>
            <w:r>
              <w:rPr>
                <w:rStyle w:val="36"/>
                <w:rFonts w:hint="eastAsia" w:ascii="宋体" w:hAnsi="宋体" w:cs="宋体" w:eastAsiaTheme="minorEastAsia"/>
                <w:b/>
                <w:bCs/>
                <w:sz w:val="20"/>
                <w:szCs w:val="20"/>
                <w:lang w:val="en-US" w:eastAsia="zh-CN"/>
              </w:rPr>
              <w:t>二、功能要求：</w:t>
            </w:r>
          </w:p>
          <w:p>
            <w:pPr>
              <w:rPr>
                <w:rStyle w:val="36"/>
                <w:rFonts w:hint="default" w:ascii="宋体" w:hAnsi="宋体" w:cs="宋体" w:eastAsiaTheme="minorEastAsia"/>
                <w:b/>
                <w:bCs/>
                <w:sz w:val="20"/>
                <w:szCs w:val="20"/>
                <w:lang w:val="en-US" w:eastAsia="zh-CN"/>
              </w:rPr>
            </w:pPr>
            <w:r>
              <w:rPr>
                <w:rFonts w:hint="eastAsia" w:ascii="宋体" w:hAnsi="宋体" w:cs="宋体"/>
                <w:sz w:val="20"/>
                <w:szCs w:val="20"/>
              </w:rPr>
              <w:t>★</w:t>
            </w:r>
            <w:r>
              <w:rPr>
                <w:rStyle w:val="36"/>
                <w:rFonts w:hint="eastAsia" w:ascii="宋体" w:hAnsi="宋体" w:cs="宋体" w:eastAsiaTheme="minorEastAsia"/>
                <w:b w:val="0"/>
                <w:bCs w:val="0"/>
                <w:sz w:val="20"/>
                <w:szCs w:val="20"/>
                <w:lang w:val="en-US" w:eastAsia="zh-CN"/>
              </w:rPr>
              <w:t>1</w:t>
            </w:r>
            <w:r>
              <w:rPr>
                <w:rFonts w:hint="eastAsia" w:ascii="宋体" w:hAnsi="宋体" w:eastAsia="宋体" w:cs="宋体"/>
                <w:b w:val="0"/>
                <w:bCs w:val="0"/>
                <w:color w:val="000000"/>
                <w:sz w:val="20"/>
                <w:szCs w:val="20"/>
                <w:highlight w:val="none"/>
                <w:lang w:eastAsia="zh-CN"/>
              </w:rPr>
              <w:t>.</w:t>
            </w:r>
            <w:r>
              <w:rPr>
                <w:rFonts w:hint="eastAsia" w:ascii="宋体" w:hAnsi="宋体" w:eastAsia="宋体" w:cs="宋体"/>
                <w:color w:val="000000"/>
                <w:sz w:val="20"/>
                <w:szCs w:val="20"/>
                <w:highlight w:val="none"/>
                <w:lang w:eastAsia="zh-CN"/>
              </w:rPr>
              <w:t>支持支持系统智能识别视频内容，在视频时间点上自动打知识点标签，教师可以编辑修改；视频播放时学生可以定位到时间点观看对应知识点的视频讲解；</w:t>
            </w:r>
          </w:p>
          <w:p>
            <w:pPr>
              <w:rPr>
                <w:rStyle w:val="36"/>
                <w:rFonts w:hint="eastAsia" w:ascii="宋体" w:hAnsi="宋体" w:cs="宋体"/>
                <w:sz w:val="20"/>
                <w:szCs w:val="20"/>
              </w:rPr>
            </w:pPr>
            <w:r>
              <w:rPr>
                <w:rFonts w:hint="eastAsia" w:ascii="宋体" w:hAnsi="宋体" w:cs="宋体"/>
                <w:sz w:val="20"/>
                <w:szCs w:val="20"/>
              </w:rPr>
              <w:t>★</w:t>
            </w:r>
            <w:r>
              <w:rPr>
                <w:rStyle w:val="36"/>
                <w:rFonts w:hint="eastAsia" w:ascii="宋体" w:hAnsi="宋体" w:cs="宋体"/>
                <w:sz w:val="20"/>
                <w:szCs w:val="20"/>
              </w:rPr>
              <w:t>2.学生可以进行自我检测，并生成学习报告，并进行学习路径规划。教师可以进行学习监控和智能督学，将精准检测，内容推送，路径规划，整个流程作为动态闭环，稳步提升学生知识掌握程度。</w:t>
            </w:r>
          </w:p>
          <w:p>
            <w:pPr>
              <w:rPr>
                <w:rStyle w:val="36"/>
                <w:rFonts w:hint="eastAsia" w:ascii="宋体" w:hAnsi="宋体" w:cs="宋体"/>
                <w:sz w:val="20"/>
                <w:szCs w:val="20"/>
              </w:rPr>
            </w:pPr>
            <w:r>
              <w:rPr>
                <w:rStyle w:val="36"/>
                <w:rFonts w:hint="eastAsia" w:ascii="宋体" w:hAnsi="宋体" w:cs="宋体"/>
                <w:sz w:val="20"/>
                <w:szCs w:val="20"/>
              </w:rPr>
              <w:t>传资源，并查看知识点关联资源数量，方便教师按知识点管理资源；</w:t>
            </w:r>
          </w:p>
          <w:p>
            <w:pPr>
              <w:rPr>
                <w:rStyle w:val="36"/>
                <w:rFonts w:hint="eastAsia" w:ascii="宋体" w:hAnsi="宋体" w:cs="宋体"/>
                <w:sz w:val="20"/>
                <w:szCs w:val="20"/>
              </w:rPr>
            </w:pPr>
            <w:r>
              <w:rPr>
                <w:rStyle w:val="36"/>
                <w:rFonts w:hint="eastAsia" w:ascii="宋体" w:hAnsi="宋体" w:cs="宋体"/>
                <w:sz w:val="20"/>
                <w:szCs w:val="20"/>
              </w:rPr>
              <w:t>3.支持教师查看班级整体知识点分析统计，查看知识点平均完成率、平均掌握率、完成率分布和掌握率分布等；</w:t>
            </w:r>
          </w:p>
          <w:p>
            <w:pPr>
              <w:rPr>
                <w:rStyle w:val="36"/>
                <w:rFonts w:hint="eastAsia" w:ascii="宋体" w:hAnsi="宋体" w:cs="宋体"/>
                <w:sz w:val="20"/>
                <w:szCs w:val="20"/>
              </w:rPr>
            </w:pPr>
            <w:r>
              <w:rPr>
                <w:rStyle w:val="36"/>
                <w:rFonts w:hint="eastAsia" w:ascii="宋体" w:hAnsi="宋体" w:cs="宋体"/>
                <w:sz w:val="20"/>
                <w:szCs w:val="20"/>
              </w:rPr>
              <w:t>4.支持按知识点查看每个知识点的关联学习资源数、平均完成率、平均掌握率、课程资料数、课程资料人均阅读情况等；</w:t>
            </w:r>
          </w:p>
          <w:p>
            <w:pPr>
              <w:widowControl/>
              <w:spacing w:line="315" w:lineRule="atLeast"/>
              <w:jc w:val="left"/>
              <w:rPr>
                <w:rStyle w:val="36"/>
                <w:rFonts w:hint="eastAsia" w:ascii="宋体" w:hAnsi="宋体" w:cs="宋体"/>
                <w:sz w:val="20"/>
                <w:szCs w:val="20"/>
              </w:rPr>
            </w:pPr>
            <w:r>
              <w:rPr>
                <w:rStyle w:val="36"/>
                <w:rFonts w:hint="eastAsia" w:ascii="宋体" w:hAnsi="宋体" w:cs="宋体"/>
                <w:sz w:val="20"/>
                <w:szCs w:val="20"/>
              </w:rPr>
              <w:t>5.支持查看单个知识点的班级统计分析详情和推荐资源，包括此知识点的平均完成率、最高掌握率、最低掌握率、平均掌握率、每个学生的此知识点完成情况和掌握情况、此知识点的每个教学任务的平均完成情况、掌握情况等，以及查看此知识点的课程资源和系统推荐的拓展资源，支持教师添加拓展资源到课程，方便教师共享给学生阅读观看。</w:t>
            </w:r>
          </w:p>
          <w:p>
            <w:pPr>
              <w:widowControl/>
              <w:spacing w:line="315" w:lineRule="atLeast"/>
              <w:jc w:val="left"/>
              <w:rPr>
                <w:rFonts w:hint="eastAsia" w:ascii="宋体" w:hAnsi="宋体" w:eastAsia="宋体" w:cs="宋体"/>
                <w:color w:val="auto"/>
                <w:kern w:val="0"/>
                <w:sz w:val="20"/>
                <w:szCs w:val="20"/>
              </w:rPr>
            </w:pPr>
            <w:r>
              <w:rPr>
                <w:rStyle w:val="36"/>
                <w:rFonts w:hint="eastAsia" w:ascii="宋体" w:hAnsi="宋体" w:cs="宋体"/>
                <w:sz w:val="20"/>
                <w:szCs w:val="20"/>
                <w:lang w:val="en-US" w:eastAsia="zh-CN"/>
              </w:rPr>
              <w:t>6.</w:t>
            </w:r>
            <w:r>
              <w:rPr>
                <w:rFonts w:hint="eastAsia" w:ascii="宋体" w:hAnsi="宋体" w:eastAsia="宋体" w:cs="宋体"/>
                <w:color w:val="auto"/>
                <w:kern w:val="0"/>
                <w:sz w:val="20"/>
                <w:szCs w:val="20"/>
              </w:rPr>
              <w:t>作业与考试</w:t>
            </w:r>
          </w:p>
          <w:p>
            <w:pPr>
              <w:widowControl/>
              <w:spacing w:line="315" w:lineRule="atLeast"/>
              <w:jc w:val="left"/>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w:t>
            </w:r>
            <w:r>
              <w:rPr>
                <w:rFonts w:hint="eastAsia" w:ascii="宋体" w:hAnsi="宋体" w:cs="宋体"/>
                <w:color w:val="auto"/>
                <w:kern w:val="0"/>
                <w:sz w:val="20"/>
                <w:szCs w:val="20"/>
                <w:lang w:val="en-US" w:eastAsia="zh-CN"/>
              </w:rPr>
              <w:t>1</w:t>
            </w:r>
            <w:r>
              <w:rPr>
                <w:rFonts w:hint="eastAsia" w:ascii="宋体" w:hAnsi="宋体" w:cs="宋体"/>
                <w:color w:val="auto"/>
                <w:kern w:val="0"/>
                <w:sz w:val="20"/>
                <w:szCs w:val="20"/>
                <w:lang w:eastAsia="zh-CN"/>
              </w:rPr>
              <w:t>）</w:t>
            </w:r>
            <w:r>
              <w:rPr>
                <w:rFonts w:hint="eastAsia" w:ascii="宋体" w:hAnsi="宋体" w:eastAsia="宋体" w:cs="宋体"/>
                <w:color w:val="auto"/>
                <w:kern w:val="0"/>
                <w:sz w:val="20"/>
                <w:szCs w:val="20"/>
              </w:rPr>
              <w:t>具有从题库或以前的测验中随机生成新的试卷与作业的功能，教师可以对试卷和作业中的试题进行添加、修改、删除、任意排序、预览等功能，可以对试题设定分值，作业与试卷可多次重复使用。</w:t>
            </w:r>
          </w:p>
          <w:p>
            <w:pPr>
              <w:widowControl/>
              <w:spacing w:line="315" w:lineRule="atLeast"/>
              <w:jc w:val="left"/>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w:t>
            </w:r>
            <w:r>
              <w:rPr>
                <w:rFonts w:hint="eastAsia" w:ascii="宋体" w:hAnsi="宋体" w:cs="宋体"/>
                <w:color w:val="auto"/>
                <w:kern w:val="0"/>
                <w:sz w:val="20"/>
                <w:szCs w:val="20"/>
                <w:lang w:val="en-US" w:eastAsia="zh-CN"/>
              </w:rPr>
              <w:t>2</w:t>
            </w:r>
            <w:r>
              <w:rPr>
                <w:rFonts w:hint="eastAsia" w:ascii="宋体" w:hAnsi="宋体" w:cs="宋体"/>
                <w:color w:val="auto"/>
                <w:kern w:val="0"/>
                <w:sz w:val="20"/>
                <w:szCs w:val="20"/>
                <w:lang w:eastAsia="zh-CN"/>
              </w:rPr>
              <w:t>）</w:t>
            </w:r>
            <w:r>
              <w:rPr>
                <w:rFonts w:hint="eastAsia" w:ascii="宋体" w:hAnsi="宋体" w:eastAsia="宋体" w:cs="宋体"/>
                <w:color w:val="auto"/>
                <w:kern w:val="0"/>
                <w:sz w:val="20"/>
                <w:szCs w:val="20"/>
              </w:rPr>
              <w:t>作业需具备生生互评的功能，设为互评的作业，学生间对作业相互打分，教师可参与最后的评估。</w:t>
            </w:r>
          </w:p>
          <w:p>
            <w:pPr>
              <w:widowControl/>
              <w:spacing w:line="315" w:lineRule="atLeast"/>
              <w:jc w:val="left"/>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w:t>
            </w:r>
            <w:r>
              <w:rPr>
                <w:rFonts w:hint="eastAsia" w:ascii="宋体" w:hAnsi="宋体" w:cs="宋体"/>
                <w:color w:val="auto"/>
                <w:kern w:val="0"/>
                <w:sz w:val="20"/>
                <w:szCs w:val="20"/>
                <w:lang w:val="en-US" w:eastAsia="zh-CN"/>
              </w:rPr>
              <w:t>3</w:t>
            </w:r>
            <w:r>
              <w:rPr>
                <w:rFonts w:hint="eastAsia" w:ascii="宋体" w:hAnsi="宋体" w:cs="宋体"/>
                <w:color w:val="auto"/>
                <w:kern w:val="0"/>
                <w:sz w:val="20"/>
                <w:szCs w:val="20"/>
                <w:lang w:eastAsia="zh-CN"/>
              </w:rPr>
              <w:t>）</w:t>
            </w:r>
            <w:r>
              <w:rPr>
                <w:rFonts w:hint="eastAsia" w:ascii="宋体" w:hAnsi="宋体" w:eastAsia="宋体" w:cs="宋体"/>
                <w:color w:val="auto"/>
                <w:kern w:val="0"/>
                <w:sz w:val="20"/>
                <w:szCs w:val="20"/>
              </w:rPr>
              <w:t>支持进行作业查重，对于简答题、论述题等，可进行相似度分析。</w:t>
            </w:r>
          </w:p>
          <w:p>
            <w:pPr>
              <w:widowControl/>
              <w:spacing w:line="315" w:lineRule="atLeast"/>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支持生成试卷分析报告，报告中需至少包含试卷难度、区分度统计，成绩正态分布，试卷信度等分析数据项。对于同一套作业，可以设置题目乱序。</w:t>
            </w:r>
          </w:p>
          <w:p>
            <w:pPr>
              <w:rPr>
                <w:rStyle w:val="36"/>
                <w:rFonts w:hint="eastAsia" w:ascii="宋体" w:hAnsi="宋体" w:cs="宋体"/>
                <w:sz w:val="20"/>
                <w:szCs w:val="20"/>
              </w:rPr>
            </w:pPr>
            <w:r>
              <w:rPr>
                <w:rStyle w:val="36"/>
                <w:rFonts w:hint="eastAsia" w:ascii="宋体" w:hAnsi="宋体" w:cs="宋体"/>
                <w:sz w:val="20"/>
                <w:szCs w:val="20"/>
                <w:lang w:eastAsia="zh-CN"/>
              </w:rPr>
              <w:t>（</w:t>
            </w:r>
            <w:r>
              <w:rPr>
                <w:rStyle w:val="36"/>
                <w:rFonts w:hint="eastAsia" w:ascii="宋体" w:hAnsi="宋体" w:cs="宋体"/>
                <w:sz w:val="20"/>
                <w:szCs w:val="20"/>
                <w:lang w:val="en-US" w:eastAsia="zh-CN"/>
              </w:rPr>
              <w:t>4</w:t>
            </w:r>
            <w:r>
              <w:rPr>
                <w:rStyle w:val="36"/>
                <w:rFonts w:hint="eastAsia" w:ascii="宋体" w:hAnsi="宋体" w:cs="宋体"/>
                <w:sz w:val="20"/>
                <w:szCs w:val="20"/>
                <w:lang w:eastAsia="zh-CN"/>
              </w:rPr>
              <w:t>）</w:t>
            </w:r>
            <w:r>
              <w:rPr>
                <w:rStyle w:val="36"/>
                <w:rFonts w:hint="eastAsia" w:ascii="宋体" w:hAnsi="宋体" w:cs="宋体"/>
                <w:sz w:val="20"/>
                <w:szCs w:val="20"/>
              </w:rPr>
              <w:t>为保障系统题库安全，题库建设者可为自己所负责的的题库设置安全口令，只有输入安全口令才能进入题库，避免因题库泄露导致考试事故的发生。</w:t>
            </w:r>
          </w:p>
          <w:p>
            <w:pPr>
              <w:rPr>
                <w:rFonts w:hint="eastAsia" w:ascii="宋体" w:hAnsi="宋体" w:eastAsia="宋体" w:cs="宋体"/>
                <w:color w:val="auto"/>
                <w:kern w:val="0"/>
                <w:sz w:val="20"/>
                <w:szCs w:val="20"/>
              </w:rPr>
            </w:pPr>
            <w:r>
              <w:rPr>
                <w:rFonts w:hint="eastAsia" w:ascii="宋体" w:hAnsi="宋体" w:cs="宋体"/>
                <w:color w:val="auto"/>
                <w:kern w:val="0"/>
                <w:sz w:val="20"/>
                <w:szCs w:val="20"/>
                <w:lang w:val="en-US" w:eastAsia="zh-CN"/>
              </w:rPr>
              <w:t>7.</w:t>
            </w:r>
            <w:r>
              <w:rPr>
                <w:rFonts w:hint="eastAsia" w:ascii="宋体" w:hAnsi="宋体" w:eastAsia="宋体" w:cs="宋体"/>
                <w:color w:val="auto"/>
                <w:kern w:val="0"/>
                <w:sz w:val="20"/>
                <w:szCs w:val="20"/>
              </w:rPr>
              <w:t>课程总览：课程总览中会自动统计本门课程详细情况，通过课程总览的的监控，教师可以直观快速地了解课程的进展详情。包括学生数、访问数、讨论数的统计，任务进度、视频观看时长、学生活跃度等等大量数据累计的可视化呈现。</w:t>
            </w:r>
          </w:p>
          <w:p>
            <w:pPr>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8</w:t>
            </w:r>
            <w:r>
              <w:rPr>
                <w:rFonts w:hint="eastAsia" w:ascii="宋体" w:hAnsi="宋体" w:eastAsia="宋体" w:cs="宋体"/>
                <w:color w:val="auto"/>
                <w:kern w:val="0"/>
                <w:sz w:val="20"/>
                <w:szCs w:val="20"/>
              </w:rPr>
              <w:t>.</w:t>
            </w:r>
            <w:r>
              <w:rPr>
                <w:rFonts w:hint="eastAsia" w:ascii="宋体" w:hAnsi="宋体" w:eastAsia="宋体" w:cs="宋体"/>
                <w:color w:val="auto"/>
                <w:kern w:val="0"/>
                <w:sz w:val="20"/>
                <w:szCs w:val="20"/>
                <w:lang w:eastAsia="zh-Hans"/>
              </w:rPr>
              <w:t>提供的</w:t>
            </w:r>
            <w:r>
              <w:rPr>
                <w:rFonts w:hint="eastAsia" w:ascii="宋体" w:hAnsi="宋体" w:eastAsia="宋体" w:cs="宋体"/>
                <w:color w:val="auto"/>
                <w:kern w:val="0"/>
                <w:sz w:val="20"/>
                <w:szCs w:val="20"/>
              </w:rPr>
              <w:t>课程运行</w:t>
            </w:r>
            <w:r>
              <w:rPr>
                <w:rFonts w:hint="eastAsia" w:ascii="宋体" w:hAnsi="宋体" w:eastAsia="宋体" w:cs="宋体"/>
                <w:color w:val="auto"/>
                <w:kern w:val="0"/>
                <w:sz w:val="20"/>
                <w:szCs w:val="20"/>
                <w:lang w:eastAsia="zh-Hans"/>
              </w:rPr>
              <w:t>平台须支持内容安全检测：支持模型检测能力，基于文本模型，通过对文本进行聚类和语义分析进行敏感识别，也可以对用户自定义的敏感内容进行检测</w:t>
            </w:r>
            <w:r>
              <w:rPr>
                <w:rFonts w:hint="eastAsia" w:ascii="宋体" w:hAnsi="宋体" w:eastAsia="宋体" w:cs="宋体"/>
                <w:color w:val="auto"/>
                <w:kern w:val="0"/>
                <w:sz w:val="20"/>
                <w:szCs w:val="20"/>
              </w:rPr>
              <w:t>;支持对离线视频进行敏感内容检测; 支持敏感文本、图片、文档在线检测功能；支持自定义敏感关键词、敏感忽略词、用户黑白名单、图片名单。支持通过用户风险统计、垃圾发布量、垃圾发布率的维度统计用户风险。</w:t>
            </w:r>
          </w:p>
          <w:p>
            <w:pP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9</w:t>
            </w:r>
            <w:r>
              <w:rPr>
                <w:rFonts w:hint="eastAsia" w:ascii="宋体" w:hAnsi="宋体" w:eastAsia="宋体" w:cs="宋体"/>
                <w:color w:val="auto"/>
                <w:kern w:val="0"/>
                <w:sz w:val="20"/>
                <w:szCs w:val="20"/>
              </w:rPr>
              <w:t>.实时舆情：支持将小组、讨论、章节等业务来源的文本数据进行自然语言理解，并根据文本判断发布人的情感倾向，包括正面、中立、负面等倾向。</w:t>
            </w:r>
          </w:p>
          <w:p>
            <w:pPr>
              <w:rPr>
                <w:rStyle w:val="36"/>
                <w:rFonts w:hint="eastAsia" w:ascii="宋体" w:hAnsi="宋体" w:cs="宋体" w:eastAsiaTheme="minorEastAsia"/>
                <w:b/>
                <w:bCs/>
                <w:sz w:val="20"/>
                <w:szCs w:val="20"/>
                <w:lang w:val="en-US" w:eastAsia="zh-CN"/>
              </w:rPr>
            </w:pPr>
            <w:r>
              <w:rPr>
                <w:rStyle w:val="36"/>
                <w:rFonts w:hint="eastAsia" w:ascii="宋体" w:hAnsi="宋体" w:cs="宋体"/>
                <w:b/>
                <w:bCs/>
                <w:sz w:val="20"/>
                <w:szCs w:val="20"/>
                <w:lang w:val="en-US" w:eastAsia="zh-CN"/>
              </w:rPr>
              <w:t>三、智能路径规划与资源推荐</w:t>
            </w:r>
          </w:p>
          <w:p>
            <w:pPr>
              <w:rPr>
                <w:rStyle w:val="36"/>
                <w:rFonts w:hint="eastAsia" w:ascii="宋体" w:hAnsi="宋体" w:cs="宋体" w:eastAsiaTheme="minorEastAsia"/>
                <w:sz w:val="20"/>
                <w:szCs w:val="20"/>
                <w:lang w:val="en-US" w:eastAsia="zh-CN"/>
              </w:rPr>
            </w:pPr>
            <w:r>
              <w:rPr>
                <w:rStyle w:val="36"/>
                <w:rFonts w:hint="eastAsia" w:ascii="宋体" w:hAnsi="宋体" w:cs="宋体" w:eastAsiaTheme="minorEastAsia"/>
                <w:sz w:val="20"/>
                <w:szCs w:val="20"/>
                <w:lang w:val="en-US" w:eastAsia="zh-CN"/>
              </w:rPr>
              <w:t>1.支持学生查看基于知识点的智能学习路径，系统根据学生知识点掌握情况，智能规划知识点学习路径，学生可以按学习路径进行知识点的学习和巩固。提供的资源库能与校内网络教学平台无缝对接，对接后，教师可在平台直接引用、调取资源用于</w:t>
            </w:r>
            <w:r>
              <w:rPr>
                <w:rStyle w:val="36"/>
                <w:rFonts w:hint="eastAsia" w:ascii="宋体" w:hAnsi="宋体" w:cs="宋体"/>
                <w:sz w:val="20"/>
                <w:szCs w:val="20"/>
                <w:lang w:val="en-US" w:eastAsia="zh-CN"/>
              </w:rPr>
              <w:t>知识图谱</w:t>
            </w:r>
            <w:r>
              <w:rPr>
                <w:rStyle w:val="36"/>
                <w:rFonts w:hint="eastAsia" w:ascii="宋体" w:hAnsi="宋体" w:cs="宋体"/>
                <w:sz w:val="20"/>
                <w:szCs w:val="20"/>
              </w:rPr>
              <w:t>建设</w:t>
            </w:r>
            <w:r>
              <w:rPr>
                <w:rStyle w:val="36"/>
                <w:rFonts w:hint="eastAsia" w:ascii="宋体" w:hAnsi="宋体" w:cs="宋体" w:eastAsiaTheme="minorEastAsia"/>
                <w:sz w:val="20"/>
                <w:szCs w:val="20"/>
                <w:lang w:val="en-US" w:eastAsia="zh-CN"/>
              </w:rPr>
              <w:t>；</w:t>
            </w:r>
          </w:p>
          <w:p>
            <w:pPr>
              <w:rPr>
                <w:rStyle w:val="36"/>
                <w:rFonts w:hint="eastAsia" w:ascii="宋体" w:hAnsi="宋体" w:cs="宋体" w:eastAsiaTheme="minorEastAsia"/>
                <w:sz w:val="20"/>
                <w:szCs w:val="20"/>
                <w:lang w:val="en-US" w:eastAsia="zh-CN"/>
              </w:rPr>
            </w:pPr>
            <w:r>
              <w:rPr>
                <w:rStyle w:val="36"/>
                <w:rFonts w:hint="eastAsia" w:ascii="宋体" w:hAnsi="宋体" w:cs="宋体"/>
                <w:sz w:val="20"/>
                <w:szCs w:val="20"/>
              </w:rPr>
              <w:t>★</w:t>
            </w:r>
            <w:r>
              <w:rPr>
                <w:rStyle w:val="36"/>
                <w:rFonts w:hint="eastAsia" w:ascii="宋体" w:hAnsi="宋体" w:cs="宋体" w:eastAsiaTheme="minorEastAsia"/>
                <w:sz w:val="20"/>
                <w:szCs w:val="20"/>
                <w:lang w:val="en-US" w:eastAsia="zh-CN"/>
              </w:rPr>
              <w:t>2. 支持按照知识点，系统智能推荐拓展资源给学生学习；富媒体资源库中的资源需涵盖，多种电子书、多种期刊，可以进行在线阅读，可以进行文字摘录直接引用到课程进行备课；提供学术视频，电子图书，电子书、学术视频等资源必须取得著作权人的授权，无版权问题；提供参考资料及课程资源链接。</w:t>
            </w:r>
          </w:p>
          <w:p>
            <w:pPr>
              <w:rPr>
                <w:rStyle w:val="36"/>
                <w:rFonts w:hint="eastAsia" w:ascii="宋体" w:hAnsi="宋体" w:cs="宋体" w:eastAsiaTheme="minorEastAsia"/>
                <w:sz w:val="20"/>
                <w:szCs w:val="20"/>
                <w:lang w:val="en-US" w:eastAsia="zh-CN"/>
              </w:rPr>
            </w:pPr>
            <w:r>
              <w:rPr>
                <w:rStyle w:val="36"/>
                <w:rFonts w:hint="eastAsia" w:ascii="宋体" w:hAnsi="宋体" w:cs="宋体"/>
                <w:sz w:val="20"/>
                <w:szCs w:val="20"/>
              </w:rPr>
              <w:t>★</w:t>
            </w:r>
            <w:r>
              <w:rPr>
                <w:rStyle w:val="36"/>
                <w:rFonts w:hint="eastAsia" w:ascii="宋体" w:hAnsi="宋体" w:cs="宋体" w:eastAsiaTheme="minorEastAsia"/>
                <w:sz w:val="20"/>
                <w:szCs w:val="20"/>
                <w:lang w:val="en-US" w:eastAsia="zh-CN"/>
              </w:rPr>
              <w:t>3.提供的知识图谱能与校内网络教学平台资源对接，学校教师可在平台直接引用、调取资源用于知识图谱建设。</w:t>
            </w:r>
          </w:p>
          <w:p>
            <w:pPr>
              <w:rPr>
                <w:rStyle w:val="36"/>
                <w:rFonts w:hint="eastAsia" w:ascii="宋体" w:hAnsi="宋体" w:cs="宋体" w:eastAsiaTheme="minorEastAsia"/>
                <w:sz w:val="20"/>
                <w:szCs w:val="20"/>
                <w:lang w:val="en-US" w:eastAsia="zh-CN"/>
              </w:rPr>
            </w:pPr>
            <w:r>
              <w:rPr>
                <w:rStyle w:val="36"/>
                <w:rFonts w:hint="eastAsia" w:ascii="宋体" w:hAnsi="宋体" w:cs="宋体" w:eastAsiaTheme="minorEastAsia"/>
                <w:sz w:val="20"/>
                <w:szCs w:val="20"/>
                <w:lang w:val="en-US" w:eastAsia="zh-CN"/>
              </w:rPr>
              <w:t xml:space="preserve">4.支持将学校网络教学平台的公共资源与课程中的资源库上传资源的时候进行知识点的标记，一个资源可以支持标记多个知识点；                   </w:t>
            </w:r>
          </w:p>
          <w:p>
            <w:pPr>
              <w:rPr>
                <w:rStyle w:val="36"/>
                <w:rFonts w:hint="eastAsia" w:ascii="宋体" w:hAnsi="宋体" w:cs="宋体" w:eastAsiaTheme="minorEastAsia"/>
                <w:sz w:val="20"/>
                <w:szCs w:val="20"/>
                <w:lang w:val="en-US" w:eastAsia="zh-CN"/>
              </w:rPr>
            </w:pPr>
            <w:r>
              <w:rPr>
                <w:rStyle w:val="36"/>
                <w:rFonts w:hint="eastAsia" w:ascii="宋体" w:hAnsi="宋体" w:cs="宋体" w:eastAsiaTheme="minorEastAsia"/>
                <w:sz w:val="20"/>
                <w:szCs w:val="20"/>
                <w:lang w:val="en-US" w:eastAsia="zh-CN"/>
              </w:rPr>
              <w:t xml:space="preserve">5.资源详情页支持显示资源标记的知识点；        </w:t>
            </w:r>
          </w:p>
          <w:p>
            <w:pPr>
              <w:snapToGrid w:val="0"/>
              <w:rPr>
                <w:rFonts w:hint="eastAsia" w:ascii="宋体" w:hAnsi="宋体" w:cs="宋体"/>
                <w:sz w:val="20"/>
                <w:szCs w:val="20"/>
                <w:lang w:val="es-AR" w:bidi="ne-NP"/>
              </w:rPr>
            </w:pPr>
            <w:r>
              <w:rPr>
                <w:rStyle w:val="36"/>
                <w:rFonts w:hint="eastAsia" w:ascii="宋体" w:hAnsi="宋体" w:cs="宋体" w:eastAsiaTheme="minorEastAsia"/>
                <w:sz w:val="20"/>
                <w:szCs w:val="20"/>
                <w:lang w:val="en-US" w:eastAsia="zh-CN"/>
              </w:rPr>
              <w:t>6.支持课程可持续性建设，可按照专业（群）生成知识图谱，对应知识点可关联相关的数据资源库。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137" w:type="dxa"/>
            <w:tcBorders>
              <w:left w:val="single" w:color="000000" w:sz="4" w:space="0"/>
              <w:right w:val="single" w:color="000000" w:sz="4" w:space="0"/>
            </w:tcBorders>
            <w:noWrap w:val="0"/>
            <w:vAlign w:val="center"/>
          </w:tcPr>
          <w:p>
            <w:pPr>
              <w:snapToGrid w:val="0"/>
              <w:rPr>
                <w:rFonts w:hint="eastAsia" w:ascii="宋体" w:hAnsi="宋体" w:cs="宋体"/>
                <w:sz w:val="20"/>
                <w:szCs w:val="20"/>
                <w:lang w:bidi="ne-NP"/>
              </w:rPr>
            </w:pPr>
            <w:r>
              <w:rPr>
                <w:rFonts w:hint="eastAsia" w:ascii="宋体" w:hAnsi="宋体" w:cs="宋体"/>
                <w:sz w:val="20"/>
                <w:szCs w:val="20"/>
                <w:lang w:val="es-AR" w:bidi="ne-NP"/>
              </w:rPr>
              <w:t>投标要求</w:t>
            </w:r>
          </w:p>
        </w:tc>
        <w:tc>
          <w:tcPr>
            <w:tcW w:w="8718" w:type="dxa"/>
            <w:gridSpan w:val="2"/>
            <w:tcBorders>
              <w:top w:val="single" w:color="000000" w:sz="4" w:space="0"/>
              <w:left w:val="single" w:color="000000" w:sz="4" w:space="0"/>
              <w:bottom w:val="single" w:color="000000" w:sz="4" w:space="0"/>
              <w:right w:val="single" w:color="000000" w:sz="4" w:space="0"/>
            </w:tcBorders>
            <w:noWrap w:val="0"/>
            <w:vAlign w:val="top"/>
          </w:tcPr>
          <w:p>
            <w:pPr>
              <w:snapToGrid w:val="0"/>
              <w:rPr>
                <w:rFonts w:hint="default" w:ascii="宋体" w:hAnsi="宋体" w:cs="宋体" w:eastAsiaTheme="minorEastAsia"/>
                <w:sz w:val="20"/>
                <w:szCs w:val="20"/>
                <w:lang w:val="en-US" w:eastAsia="zh-CN" w:bidi="ne-NP"/>
              </w:rPr>
            </w:pPr>
            <w:r>
              <w:rPr>
                <w:rFonts w:hint="eastAsia" w:ascii="宋体" w:hAnsi="宋体" w:cs="宋体"/>
                <w:sz w:val="20"/>
                <w:szCs w:val="20"/>
                <w:lang w:val="es-AR" w:bidi="ne-NP"/>
              </w:rPr>
              <w:t>技术指标中，带“★”的为重要指标，中标供应商需在中标后2个工作日内到</w:t>
            </w:r>
            <w:r>
              <w:rPr>
                <w:rFonts w:hint="eastAsia" w:ascii="宋体" w:hAnsi="宋体" w:cs="宋体"/>
                <w:sz w:val="20"/>
                <w:szCs w:val="20"/>
                <w:lang w:val="es-AR" w:eastAsia="zh-CN" w:bidi="ne-NP"/>
              </w:rPr>
              <w:t>采购人使用管理部门</w:t>
            </w:r>
            <w:r>
              <w:rPr>
                <w:rFonts w:hint="eastAsia" w:ascii="宋体" w:hAnsi="宋体" w:cs="宋体"/>
                <w:sz w:val="20"/>
                <w:szCs w:val="20"/>
                <w:lang w:val="es-AR" w:bidi="ne-NP"/>
              </w:rPr>
              <w:t>进行</w:t>
            </w:r>
            <w:r>
              <w:rPr>
                <w:rFonts w:hint="eastAsia" w:ascii="宋体" w:hAnsi="宋体" w:cs="宋体"/>
                <w:sz w:val="20"/>
                <w:szCs w:val="20"/>
                <w:lang w:val="es-AR" w:eastAsia="zh-CN" w:bidi="ne-NP"/>
              </w:rPr>
              <w:t>详细</w:t>
            </w:r>
            <w:r>
              <w:rPr>
                <w:rFonts w:hint="eastAsia" w:ascii="宋体" w:hAnsi="宋体" w:cs="宋体"/>
                <w:sz w:val="20"/>
                <w:szCs w:val="20"/>
                <w:lang w:val="es-AR" w:bidi="ne-NP"/>
              </w:rPr>
              <w:t>演示。如出现虚假响应，</w:t>
            </w:r>
            <w:r>
              <w:rPr>
                <w:rFonts w:hint="eastAsia" w:ascii="宋体" w:hAnsi="宋体" w:cs="宋体"/>
                <w:sz w:val="20"/>
                <w:szCs w:val="20"/>
                <w:lang w:val="es-AR" w:eastAsia="zh-CN" w:bidi="ne-NP"/>
              </w:rPr>
              <w:t>采购人将取消其中标资格，该公司须</w:t>
            </w:r>
            <w:r>
              <w:rPr>
                <w:rFonts w:hint="eastAsia" w:ascii="宋体" w:hAnsi="宋体" w:cs="宋体"/>
                <w:sz w:val="20"/>
                <w:szCs w:val="20"/>
                <w:lang w:val="es-AR" w:bidi="ne-NP"/>
              </w:rPr>
              <w:t>承担由此而引起的一切法律责任和费用</w:t>
            </w:r>
            <w:r>
              <w:rPr>
                <w:rFonts w:hint="eastAsia" w:ascii="宋体" w:hAnsi="宋体" w:cs="宋体"/>
                <w:sz w:val="20"/>
                <w:szCs w:val="20"/>
                <w:lang w:val="es-AR" w:eastAsia="zh-CN" w:bidi="ne-NP"/>
              </w:rPr>
              <w:t>。采购人有权选择成交候选人排序第二的作为成交供应商或重新组织采购。</w:t>
            </w:r>
          </w:p>
        </w:tc>
      </w:tr>
    </w:tbl>
    <w:p>
      <w:pPr>
        <w:tabs>
          <w:tab w:val="left" w:pos="720"/>
        </w:tabs>
        <w:adjustRightInd w:val="0"/>
        <w:snapToGrid w:val="0"/>
        <w:spacing w:line="360" w:lineRule="auto"/>
        <w:ind w:firstLine="708" w:firstLineChars="295"/>
        <w:rPr>
          <w:rFonts w:hint="eastAsia" w:asciiTheme="minorEastAsia" w:hAnsiTheme="minorEastAsia" w:eastAsiaTheme="minorEastAsia" w:cstheme="minorEastAsia"/>
          <w:sz w:val="24"/>
          <w:szCs w:val="24"/>
          <w:lang w:val="en-US" w:eastAsia="zh-CN"/>
        </w:rPr>
      </w:pPr>
    </w:p>
    <w:p>
      <w:pPr>
        <w:tabs>
          <w:tab w:val="left" w:pos="720"/>
        </w:tabs>
        <w:adjustRightInd w:val="0"/>
        <w:snapToGrid w:val="0"/>
        <w:spacing w:line="360" w:lineRule="auto"/>
        <w:ind w:firstLine="708" w:firstLineChars="2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cstheme="minorEastAsia"/>
          <w:sz w:val="24"/>
          <w:szCs w:val="24"/>
          <w:lang w:eastAsia="zh-CN"/>
        </w:rPr>
        <w:t>售后</w:t>
      </w:r>
      <w:r>
        <w:rPr>
          <w:rFonts w:hint="eastAsia" w:asciiTheme="minorEastAsia" w:hAnsiTheme="minorEastAsia" w:eastAsiaTheme="minorEastAsia" w:cstheme="minorEastAsia"/>
          <w:sz w:val="24"/>
          <w:szCs w:val="24"/>
        </w:rPr>
        <w:t>保障服务要求</w:t>
      </w:r>
    </w:p>
    <w:p>
      <w:pPr>
        <w:tabs>
          <w:tab w:val="left" w:pos="720"/>
        </w:tabs>
        <w:adjustRightInd w:val="0"/>
        <w:snapToGrid w:val="0"/>
        <w:spacing w:line="360" w:lineRule="auto"/>
        <w:ind w:firstLine="708" w:firstLineChars="295"/>
        <w:rPr>
          <w:rFonts w:hint="eastAsia" w:asciiTheme="minorEastAsia" w:hAnsiTheme="minorEastAsia" w:eastAsiaTheme="minorEastAsia" w:cstheme="minorEastAsia"/>
          <w:strike/>
          <w:dstrike w:val="0"/>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供应商在项目实施地能够提供稳定售后服务，且有专业影棚。</w:t>
      </w:r>
      <w:r>
        <w:rPr>
          <w:rFonts w:hint="eastAsia" w:asciiTheme="minorEastAsia" w:hAnsiTheme="minorEastAsia" w:eastAsiaTheme="minorEastAsia" w:cstheme="minorEastAsia"/>
          <w:sz w:val="24"/>
          <w:szCs w:val="24"/>
          <w:lang w:eastAsia="zh-CN"/>
        </w:rPr>
        <w:t>接到采购人管理使用部门联系后，</w:t>
      </w:r>
      <w:r>
        <w:rPr>
          <w:rFonts w:hint="eastAsia" w:asciiTheme="minorEastAsia" w:hAnsiTheme="minorEastAsia" w:eastAsiaTheme="minorEastAsia" w:cstheme="minorEastAsia"/>
          <w:sz w:val="24"/>
          <w:szCs w:val="24"/>
          <w:lang w:val="en-US" w:eastAsia="zh-CN"/>
        </w:rPr>
        <w:t>24小时内响应，3天内处理完毕。</w:t>
      </w:r>
    </w:p>
    <w:p>
      <w:pPr>
        <w:tabs>
          <w:tab w:val="left" w:pos="720"/>
        </w:tabs>
        <w:adjustRightInd w:val="0"/>
        <w:snapToGrid w:val="0"/>
        <w:spacing w:line="360" w:lineRule="auto"/>
        <w:ind w:firstLine="708" w:firstLineChars="29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供应商须</w:t>
      </w:r>
      <w:r>
        <w:rPr>
          <w:rFonts w:hint="eastAsia" w:asciiTheme="minorEastAsia" w:hAnsiTheme="minorEastAsia" w:cstheme="minorEastAsia"/>
          <w:sz w:val="24"/>
          <w:szCs w:val="24"/>
          <w:lang w:eastAsia="zh-CN"/>
        </w:rPr>
        <w:t>提供</w:t>
      </w:r>
      <w:r>
        <w:rPr>
          <w:rFonts w:hint="eastAsia" w:asciiTheme="minorEastAsia" w:hAnsiTheme="minorEastAsia" w:eastAsiaTheme="minorEastAsia" w:cstheme="minorEastAsia"/>
          <w:sz w:val="24"/>
          <w:szCs w:val="24"/>
        </w:rPr>
        <w:t>驻场服务，制作、服务团队包括课程设计人员、视频拍摄人员、剪辑美工人员、教学保障人员、课程推广人员</w:t>
      </w:r>
      <w:r>
        <w:rPr>
          <w:rFonts w:hint="eastAsia" w:asciiTheme="minorEastAsia" w:hAnsiTheme="minorEastAsia" w:cstheme="minorEastAsia"/>
          <w:sz w:val="24"/>
          <w:szCs w:val="24"/>
          <w:lang w:eastAsia="zh-CN"/>
        </w:rPr>
        <w:t>等</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具有教育学、现代教育技术学、广播电视编导、编导、动画或动漫设计创作等相关专业人员</w:t>
      </w:r>
      <w:r>
        <w:rPr>
          <w:rFonts w:hint="eastAsia" w:asciiTheme="minorEastAsia" w:hAnsiTheme="minorEastAsia" w:eastAsiaTheme="minorEastAsia" w:cstheme="minorEastAsia"/>
          <w:sz w:val="24"/>
          <w:szCs w:val="24"/>
          <w:lang w:eastAsia="zh-CN"/>
        </w:rPr>
        <w:t>。</w:t>
      </w: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6"/>
        <w:rPr>
          <w:rFonts w:hint="eastAsia"/>
          <w:color w:val="auto"/>
          <w:highlight w:val="none"/>
        </w:rPr>
      </w:pPr>
    </w:p>
    <w:p>
      <w:pPr>
        <w:rPr>
          <w:rFonts w:hint="eastAsia"/>
          <w:color w:val="auto"/>
          <w:highlight w:val="none"/>
        </w:rPr>
      </w:pPr>
    </w:p>
    <w:p>
      <w:pPr>
        <w:pStyle w:val="6"/>
        <w:rPr>
          <w:rFonts w:hint="eastAsia"/>
          <w:color w:val="auto"/>
          <w:highlight w:val="none"/>
        </w:rPr>
      </w:pPr>
    </w:p>
    <w:p>
      <w:pPr>
        <w:rPr>
          <w:rFonts w:hint="eastAsia"/>
          <w:color w:val="auto"/>
          <w:highlight w:val="none"/>
        </w:rPr>
      </w:pPr>
    </w:p>
    <w:p>
      <w:pPr>
        <w:pStyle w:val="6"/>
        <w:rPr>
          <w:rFonts w:hint="eastAsia"/>
          <w:color w:val="auto"/>
          <w:highlight w:val="none"/>
        </w:rPr>
      </w:pPr>
    </w:p>
    <w:p>
      <w:pPr>
        <w:rPr>
          <w:rFonts w:hint="eastAsia"/>
          <w:color w:val="auto"/>
          <w:highlight w:val="none"/>
        </w:rPr>
      </w:pPr>
    </w:p>
    <w:p>
      <w:pPr>
        <w:pStyle w:val="6"/>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snapToGrid w:val="0"/>
        <w:spacing w:line="400" w:lineRule="exact"/>
        <w:jc w:val="both"/>
        <w:rPr>
          <w:rFonts w:hint="eastAsia" w:ascii="方正仿宋_GBK" w:hAnsi="方正仿宋_GBK" w:eastAsia="方正仿宋_GBK" w:cs="方正仿宋_GBK"/>
          <w:b/>
          <w:bCs/>
          <w:color w:val="auto"/>
          <w:sz w:val="28"/>
          <w:szCs w:val="28"/>
          <w:highlight w:val="none"/>
        </w:rPr>
      </w:pPr>
    </w:p>
    <w:p>
      <w:pPr>
        <w:snapToGrid w:val="0"/>
        <w:spacing w:line="400" w:lineRule="exact"/>
        <w:jc w:val="center"/>
        <w:rPr>
          <w:rFonts w:hint="eastAsia" w:ascii="方正仿宋_GBK" w:hAnsi="方正仿宋_GBK" w:eastAsia="方正仿宋_GBK" w:cs="方正仿宋_GBK"/>
          <w:b/>
          <w:bCs/>
          <w:color w:val="auto"/>
          <w:sz w:val="28"/>
          <w:szCs w:val="28"/>
          <w:highlight w:val="none"/>
          <w:lang w:eastAsia="zh-CN"/>
        </w:rPr>
      </w:pPr>
      <w:r>
        <w:rPr>
          <w:rFonts w:hint="eastAsia" w:ascii="方正仿宋_GBK" w:hAnsi="方正仿宋_GBK" w:eastAsia="方正仿宋_GBK" w:cs="方正仿宋_GBK"/>
          <w:b/>
          <w:bCs/>
          <w:color w:val="auto"/>
          <w:sz w:val="28"/>
          <w:szCs w:val="28"/>
          <w:highlight w:val="none"/>
        </w:rPr>
        <w:t xml:space="preserve">第三篇  </w:t>
      </w:r>
      <w:r>
        <w:rPr>
          <w:rFonts w:hint="eastAsia" w:ascii="方正仿宋_GBK" w:hAnsi="方正仿宋_GBK" w:eastAsia="方正仿宋_GBK" w:cs="方正仿宋_GBK"/>
          <w:b/>
          <w:bCs/>
          <w:color w:val="auto"/>
          <w:sz w:val="28"/>
          <w:szCs w:val="28"/>
          <w:highlight w:val="none"/>
          <w:lang w:eastAsia="zh-CN"/>
        </w:rPr>
        <w:t>项目</w:t>
      </w:r>
      <w:r>
        <w:rPr>
          <w:rFonts w:hint="eastAsia" w:ascii="方正仿宋_GBK" w:hAnsi="方正仿宋_GBK" w:eastAsia="方正仿宋_GBK" w:cs="方正仿宋_GBK"/>
          <w:b/>
          <w:bCs/>
          <w:color w:val="auto"/>
          <w:sz w:val="28"/>
          <w:szCs w:val="28"/>
          <w:highlight w:val="none"/>
        </w:rPr>
        <w:t>商务</w:t>
      </w:r>
      <w:r>
        <w:rPr>
          <w:rFonts w:hint="eastAsia" w:ascii="方正仿宋_GBK" w:hAnsi="方正仿宋_GBK" w:eastAsia="方正仿宋_GBK" w:cs="方正仿宋_GBK"/>
          <w:b/>
          <w:bCs/>
          <w:color w:val="auto"/>
          <w:sz w:val="28"/>
          <w:szCs w:val="28"/>
          <w:highlight w:val="none"/>
          <w:lang w:eastAsia="zh-CN"/>
        </w:rPr>
        <w:t>要求</w:t>
      </w:r>
    </w:p>
    <w:bookmarkEnd w:id="14"/>
    <w:p>
      <w:pPr>
        <w:tabs>
          <w:tab w:val="left" w:pos="720"/>
        </w:tabs>
        <w:adjustRightInd w:val="0"/>
        <w:snapToGrid w:val="0"/>
        <w:spacing w:line="360" w:lineRule="auto"/>
        <w:rPr>
          <w:rFonts w:hint="default" w:asciiTheme="minorEastAsia" w:hAnsiTheme="minorEastAsia" w:eastAsiaTheme="minorEastAsia" w:cstheme="minorEastAsia"/>
          <w:sz w:val="24"/>
          <w:szCs w:val="24"/>
          <w:lang w:val="en-US" w:eastAsia="zh-CN"/>
        </w:rPr>
      </w:pPr>
      <w:bookmarkStart w:id="16" w:name="_Toc89868483"/>
      <w:r>
        <w:rPr>
          <w:rFonts w:hint="default"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lang w:val="en-US" w:eastAsia="zh-CN"/>
        </w:rPr>
        <w:t>、</w:t>
      </w:r>
      <w:r>
        <w:rPr>
          <w:rFonts w:hint="default" w:asciiTheme="minorEastAsia" w:hAnsiTheme="minorEastAsia" w:eastAsiaTheme="minorEastAsia" w:cstheme="minorEastAsia"/>
          <w:sz w:val="24"/>
          <w:szCs w:val="24"/>
          <w:lang w:val="en-US" w:eastAsia="zh-CN"/>
        </w:rPr>
        <w:t>实施时间、地点及验收</w:t>
      </w:r>
    </w:p>
    <w:p>
      <w:pPr>
        <w:tabs>
          <w:tab w:val="left" w:pos="720"/>
        </w:tabs>
        <w:adjustRightInd w:val="0"/>
        <w:snapToGrid w:val="0"/>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服务</w:t>
      </w:r>
      <w:r>
        <w:rPr>
          <w:rFonts w:hint="default" w:asciiTheme="minorEastAsia" w:hAnsiTheme="minorEastAsia" w:eastAsiaTheme="minorEastAsia" w:cstheme="minorEastAsia"/>
          <w:sz w:val="24"/>
          <w:szCs w:val="24"/>
          <w:lang w:val="en-US" w:eastAsia="zh-CN"/>
        </w:rPr>
        <w:t>时间：</w:t>
      </w:r>
      <w:r>
        <w:rPr>
          <w:rFonts w:hint="eastAsia" w:asciiTheme="minorEastAsia" w:hAnsiTheme="minorEastAsia" w:eastAsiaTheme="minorEastAsia" w:cstheme="minorEastAsia"/>
          <w:sz w:val="24"/>
          <w:szCs w:val="24"/>
          <w:lang w:val="en-US" w:eastAsia="zh-CN"/>
        </w:rPr>
        <w:t>项目建设</w:t>
      </w:r>
      <w:r>
        <w:rPr>
          <w:rFonts w:hint="default" w:asciiTheme="minorEastAsia" w:hAnsiTheme="minorEastAsia" w:eastAsiaTheme="minorEastAsia" w:cstheme="minorEastAsia"/>
          <w:sz w:val="24"/>
          <w:szCs w:val="24"/>
          <w:highlight w:val="none"/>
          <w:lang w:val="en-US" w:eastAsia="zh-CN"/>
        </w:rPr>
        <w:t>30个日历日</w:t>
      </w:r>
      <w:r>
        <w:rPr>
          <w:rFonts w:hint="eastAsia" w:asciiTheme="minorEastAsia" w:hAnsiTheme="minorEastAsia" w:eastAsiaTheme="minorEastAsia" w:cstheme="minorEastAsia"/>
          <w:sz w:val="24"/>
          <w:szCs w:val="24"/>
          <w:lang w:val="en-US" w:eastAsia="zh-CN"/>
        </w:rPr>
        <w:t>，质保期2年</w:t>
      </w:r>
      <w:r>
        <w:rPr>
          <w:rFonts w:hint="default" w:asciiTheme="minorEastAsia" w:hAnsiTheme="minorEastAsia" w:eastAsiaTheme="minorEastAsia" w:cstheme="minorEastAsia"/>
          <w:sz w:val="24"/>
          <w:szCs w:val="24"/>
          <w:lang w:val="en-US" w:eastAsia="zh-CN"/>
        </w:rPr>
        <w:t>。</w:t>
      </w:r>
    </w:p>
    <w:p>
      <w:pPr>
        <w:tabs>
          <w:tab w:val="left" w:pos="720"/>
        </w:tabs>
        <w:adjustRightInd w:val="0"/>
        <w:snapToGrid w:val="0"/>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en-US" w:eastAsia="zh-CN"/>
        </w:rPr>
        <w:t>服务</w:t>
      </w:r>
      <w:r>
        <w:rPr>
          <w:rFonts w:hint="default" w:asciiTheme="minorEastAsia" w:hAnsiTheme="minorEastAsia" w:eastAsiaTheme="minorEastAsia" w:cstheme="minorEastAsia"/>
          <w:sz w:val="24"/>
          <w:szCs w:val="24"/>
          <w:lang w:val="en-US" w:eastAsia="zh-CN"/>
        </w:rPr>
        <w:t>地点：重庆医科大学附属</w:t>
      </w:r>
      <w:r>
        <w:rPr>
          <w:rFonts w:hint="eastAsia" w:asciiTheme="minorEastAsia" w:hAnsiTheme="minorEastAsia" w:eastAsiaTheme="minorEastAsia" w:cstheme="minorEastAsia"/>
          <w:sz w:val="24"/>
          <w:szCs w:val="24"/>
          <w:lang w:val="en-US" w:eastAsia="zh-CN"/>
        </w:rPr>
        <w:t>康复</w:t>
      </w:r>
      <w:r>
        <w:rPr>
          <w:rFonts w:hint="default" w:asciiTheme="minorEastAsia" w:hAnsiTheme="minorEastAsia" w:eastAsiaTheme="minorEastAsia" w:cstheme="minorEastAsia"/>
          <w:sz w:val="24"/>
          <w:szCs w:val="24"/>
          <w:lang w:val="en-US" w:eastAsia="zh-CN"/>
        </w:rPr>
        <w:t>医院，采购人指定地点。</w:t>
      </w:r>
    </w:p>
    <w:p>
      <w:pPr>
        <w:tabs>
          <w:tab w:val="left" w:pos="720"/>
        </w:tabs>
        <w:adjustRightInd w:val="0"/>
        <w:snapToGrid w:val="0"/>
        <w:spacing w:line="360" w:lineRule="auto"/>
        <w:ind w:firstLine="480" w:firstLineChars="200"/>
        <w:rPr>
          <w:rFonts w:hint="default"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lang w:val="en-US" w:eastAsia="zh-CN"/>
        </w:rPr>
        <w:t>3.项目验收：</w:t>
      </w:r>
      <w:r>
        <w:rPr>
          <w:rFonts w:hint="default" w:asciiTheme="minorEastAsia" w:hAnsiTheme="minorEastAsia" w:eastAsiaTheme="minorEastAsia" w:cstheme="minorEastAsia"/>
          <w:sz w:val="24"/>
          <w:szCs w:val="24"/>
          <w:highlight w:val="none"/>
          <w:lang w:val="en-US" w:eastAsia="zh-CN"/>
        </w:rPr>
        <w:t>项目建设完成后，中标人提起验收申请，采购人根据合同参数验收，并在验收单上签字确认</w:t>
      </w:r>
      <w:r>
        <w:rPr>
          <w:rFonts w:hint="eastAsia" w:asciiTheme="minorEastAsia" w:hAnsiTheme="minorEastAsia" w:eastAsiaTheme="minorEastAsia" w:cstheme="minorEastAsia"/>
          <w:sz w:val="24"/>
          <w:szCs w:val="24"/>
          <w:highlight w:val="none"/>
          <w:lang w:val="en-US" w:eastAsia="zh-CN"/>
        </w:rPr>
        <w:t>。</w:t>
      </w:r>
    </w:p>
    <w:p>
      <w:pPr>
        <w:tabs>
          <w:tab w:val="left" w:pos="720"/>
        </w:tabs>
        <w:adjustRightInd w:val="0"/>
        <w:snapToGrid w:val="0"/>
        <w:spacing w:line="360" w:lineRule="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lang w:val="en-US" w:eastAsia="zh-CN"/>
        </w:rPr>
        <w:t>、</w:t>
      </w:r>
      <w:r>
        <w:rPr>
          <w:rFonts w:hint="default" w:asciiTheme="minorEastAsia" w:hAnsiTheme="minorEastAsia" w:eastAsiaTheme="minorEastAsia" w:cstheme="minorEastAsia"/>
          <w:sz w:val="24"/>
          <w:szCs w:val="24"/>
          <w:lang w:val="en-US" w:eastAsia="zh-CN"/>
        </w:rPr>
        <w:t>交货时间、交货地点及验收方式</w:t>
      </w:r>
    </w:p>
    <w:p>
      <w:pPr>
        <w:tabs>
          <w:tab w:val="left" w:pos="720"/>
        </w:tabs>
        <w:adjustRightInd w:val="0"/>
        <w:snapToGrid w:val="0"/>
        <w:spacing w:line="360" w:lineRule="auto"/>
        <w:ind w:firstLine="480" w:firstLineChars="200"/>
        <w:rPr>
          <w:rFonts w:hint="default"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lang w:val="en-US" w:eastAsia="zh-CN"/>
        </w:rPr>
        <w:t>1.交货时间：中标人应在</w:t>
      </w:r>
      <w:r>
        <w:rPr>
          <w:rFonts w:hint="eastAsia" w:asciiTheme="minorEastAsia" w:hAnsiTheme="minorEastAsia" w:eastAsiaTheme="minorEastAsia" w:cstheme="minorEastAsia"/>
          <w:sz w:val="24"/>
          <w:szCs w:val="24"/>
          <w:lang w:val="en-US" w:eastAsia="zh-CN"/>
        </w:rPr>
        <w:t>项目结果公示期结束</w:t>
      </w:r>
      <w:r>
        <w:rPr>
          <w:rFonts w:hint="default" w:asciiTheme="minorEastAsia" w:hAnsiTheme="minorEastAsia" w:eastAsiaTheme="minorEastAsia" w:cstheme="minorEastAsia"/>
          <w:sz w:val="24"/>
          <w:szCs w:val="24"/>
          <w:lang w:val="en-US" w:eastAsia="zh-CN"/>
        </w:rPr>
        <w:t>后，</w:t>
      </w:r>
      <w:r>
        <w:rPr>
          <w:rFonts w:hint="default" w:asciiTheme="minorEastAsia" w:hAnsiTheme="minorEastAsia" w:eastAsiaTheme="minorEastAsia" w:cstheme="minorEastAsia"/>
          <w:sz w:val="24"/>
          <w:szCs w:val="24"/>
          <w:highlight w:val="none"/>
          <w:lang w:val="en-US" w:eastAsia="zh-CN"/>
        </w:rPr>
        <w:t>30个日历日内完成</w:t>
      </w:r>
      <w:r>
        <w:rPr>
          <w:rFonts w:hint="eastAsia" w:asciiTheme="minorEastAsia" w:hAnsiTheme="minorEastAsia" w:eastAsiaTheme="minorEastAsia" w:cstheme="minorEastAsia"/>
          <w:sz w:val="24"/>
          <w:szCs w:val="24"/>
          <w:highlight w:val="none"/>
          <w:lang w:val="en-US" w:eastAsia="zh-CN"/>
        </w:rPr>
        <w:t>本项目课程建设所有要求并</w:t>
      </w:r>
      <w:r>
        <w:rPr>
          <w:rFonts w:hint="default" w:asciiTheme="minorEastAsia" w:hAnsiTheme="minorEastAsia" w:eastAsiaTheme="minorEastAsia" w:cstheme="minorEastAsia"/>
          <w:sz w:val="24"/>
          <w:szCs w:val="24"/>
          <w:highlight w:val="none"/>
          <w:lang w:val="en-US" w:eastAsia="zh-CN"/>
        </w:rPr>
        <w:t>交付</w:t>
      </w:r>
      <w:r>
        <w:rPr>
          <w:rFonts w:hint="eastAsia" w:asciiTheme="minorEastAsia" w:hAnsiTheme="minorEastAsia" w:eastAsiaTheme="minorEastAsia" w:cstheme="minorEastAsia"/>
          <w:sz w:val="24"/>
          <w:szCs w:val="24"/>
          <w:highlight w:val="none"/>
          <w:lang w:val="en-US" w:eastAsia="zh-CN"/>
        </w:rPr>
        <w:t>，包含课程录制、上线</w:t>
      </w:r>
      <w:r>
        <w:rPr>
          <w:rFonts w:hint="default" w:asciiTheme="minorEastAsia" w:hAnsiTheme="minorEastAsia" w:eastAsiaTheme="minorEastAsia" w:cstheme="minorEastAsia"/>
          <w:sz w:val="24"/>
          <w:szCs w:val="24"/>
          <w:highlight w:val="none"/>
          <w:lang w:val="en-US" w:eastAsia="zh-CN"/>
        </w:rPr>
        <w:t>调试及培训</w:t>
      </w:r>
      <w:r>
        <w:rPr>
          <w:rFonts w:hint="eastAsia" w:asciiTheme="minorEastAsia" w:hAnsiTheme="minorEastAsia" w:eastAsiaTheme="minorEastAsia" w:cstheme="minorEastAsia"/>
          <w:sz w:val="24"/>
          <w:szCs w:val="24"/>
          <w:highlight w:val="none"/>
          <w:lang w:val="en-US" w:eastAsia="zh-CN"/>
        </w:rPr>
        <w:t>等所有工作</w:t>
      </w:r>
      <w:r>
        <w:rPr>
          <w:rFonts w:hint="default" w:asciiTheme="minorEastAsia" w:hAnsiTheme="minorEastAsia" w:eastAsiaTheme="minorEastAsia" w:cstheme="minorEastAsia"/>
          <w:sz w:val="24"/>
          <w:szCs w:val="24"/>
          <w:highlight w:val="none"/>
          <w:lang w:val="en-US" w:eastAsia="zh-CN"/>
        </w:rPr>
        <w:t>。</w:t>
      </w:r>
    </w:p>
    <w:p>
      <w:pPr>
        <w:tabs>
          <w:tab w:val="left" w:pos="720"/>
        </w:tabs>
        <w:adjustRightInd w:val="0"/>
        <w:snapToGrid w:val="0"/>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注：实施此项目服务不以合同签订完成为前提，中标人应按本条规定的时间履行工作。若未在规定时间内完成工作，将视为中标人违反磋商项目服务需求，采购人有权中止合同，不支付任何费用，并没收</w:t>
      </w:r>
      <w:r>
        <w:rPr>
          <w:rFonts w:hint="eastAsia" w:asciiTheme="minorEastAsia" w:hAnsiTheme="minorEastAsia" w:eastAsiaTheme="minorEastAsia" w:cstheme="minorEastAsia"/>
          <w:sz w:val="24"/>
          <w:szCs w:val="24"/>
          <w:lang w:val="en-US" w:eastAsia="zh-CN"/>
        </w:rPr>
        <w:t>项目</w:t>
      </w:r>
      <w:r>
        <w:rPr>
          <w:rFonts w:hint="default" w:asciiTheme="minorEastAsia" w:hAnsiTheme="minorEastAsia" w:eastAsiaTheme="minorEastAsia" w:cstheme="minorEastAsia"/>
          <w:sz w:val="24"/>
          <w:szCs w:val="24"/>
          <w:lang w:val="en-US" w:eastAsia="zh-CN"/>
        </w:rPr>
        <w:t>履约保证金。</w:t>
      </w:r>
    </w:p>
    <w:p>
      <w:pPr>
        <w:tabs>
          <w:tab w:val="left" w:pos="720"/>
        </w:tabs>
        <w:adjustRightInd w:val="0"/>
        <w:snapToGrid w:val="0"/>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2.服务地点：重庆医科大学附属康复医院，采购人指定地点。</w:t>
      </w:r>
    </w:p>
    <w:p>
      <w:pPr>
        <w:tabs>
          <w:tab w:val="left" w:pos="720"/>
        </w:tabs>
        <w:adjustRightInd w:val="0"/>
        <w:snapToGrid w:val="0"/>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3.验收方式：安装完成且运行正常后校内综合验收</w:t>
      </w:r>
    </w:p>
    <w:p>
      <w:pPr>
        <w:tabs>
          <w:tab w:val="left" w:pos="720"/>
        </w:tabs>
        <w:adjustRightInd w:val="0"/>
        <w:snapToGrid w:val="0"/>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w:t>
      </w:r>
      <w:r>
        <w:rPr>
          <w:rFonts w:hint="default" w:asciiTheme="minorEastAsia" w:hAnsiTheme="minorEastAsia" w:eastAsiaTheme="minorEastAsia" w:cstheme="minorEastAsia"/>
          <w:sz w:val="24"/>
          <w:szCs w:val="24"/>
          <w:lang w:val="en-US" w:eastAsia="zh-CN"/>
        </w:rPr>
        <w:t>报价要求</w:t>
      </w:r>
    </w:p>
    <w:p>
      <w:pPr>
        <w:tabs>
          <w:tab w:val="left" w:pos="720"/>
        </w:tabs>
        <w:adjustRightInd w:val="0"/>
        <w:snapToGrid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本项目。磋商报价为包干价，报价为人民币报总价（交钥匙）。报价包含但不限于：</w:t>
      </w:r>
      <w:r>
        <w:rPr>
          <w:rFonts w:hint="default" w:asciiTheme="minorEastAsia" w:hAnsiTheme="minorEastAsia" w:eastAsiaTheme="minorEastAsia" w:cstheme="minorEastAsia"/>
          <w:sz w:val="24"/>
          <w:szCs w:val="24"/>
          <w:lang w:val="en-US" w:eastAsia="zh-CN"/>
        </w:rPr>
        <w:t>人工费、办公费、差旅费、住宿费、交通费、通讯费、</w:t>
      </w:r>
      <w:r>
        <w:rPr>
          <w:rFonts w:hint="eastAsia" w:asciiTheme="minorEastAsia" w:hAnsiTheme="minorEastAsia" w:eastAsiaTheme="minorEastAsia" w:cstheme="minorEastAsia"/>
          <w:sz w:val="24"/>
          <w:szCs w:val="24"/>
          <w:lang w:val="en-US" w:eastAsia="zh-CN"/>
        </w:rPr>
        <w:t>材料费、保险费、</w:t>
      </w:r>
      <w:r>
        <w:rPr>
          <w:rFonts w:hint="default" w:asciiTheme="minorEastAsia" w:hAnsiTheme="minorEastAsia" w:eastAsiaTheme="minorEastAsia" w:cstheme="minorEastAsia"/>
          <w:sz w:val="24"/>
          <w:szCs w:val="24"/>
          <w:lang w:val="en-US" w:eastAsia="zh-CN"/>
        </w:rPr>
        <w:t>设备费、管理费、利润</w:t>
      </w:r>
      <w:r>
        <w:rPr>
          <w:rFonts w:hint="eastAsia" w:asciiTheme="minorEastAsia" w:hAnsiTheme="minorEastAsia" w:eastAsiaTheme="minorEastAsia" w:cstheme="minorEastAsia"/>
          <w:sz w:val="24"/>
          <w:szCs w:val="24"/>
          <w:lang w:val="en-US" w:eastAsia="zh-CN"/>
        </w:rPr>
        <w:t>、运输费（含装卸费）、税费、培训费等以及所有需要用到的辅材费用和招标人未考虑到的其他各种费用。中标后，采购人不追加任何费用，请投标人在投标时充分考虑所有费用，若中标人因费用问题拖延服务时间或未按服务要求执行，皆视为违约，采购人有权中止合同，没收履约保证金，并拒绝支付所有服务费用。</w:t>
      </w:r>
    </w:p>
    <w:p>
      <w:pPr>
        <w:tabs>
          <w:tab w:val="left" w:pos="720"/>
        </w:tabs>
        <w:adjustRightInd w:val="0"/>
        <w:snapToGrid w:val="0"/>
        <w:spacing w:line="360" w:lineRule="auto"/>
        <w:rPr>
          <w:rFonts w:hint="eastAsia" w:asciiTheme="minorEastAsia" w:hAnsiTheme="minorEastAsia" w:eastAsiaTheme="minorEastAsia" w:cstheme="minorEastAsia"/>
          <w:sz w:val="24"/>
          <w:szCs w:val="24"/>
          <w:lang w:val="en-US" w:eastAsia="zh-CN"/>
        </w:rPr>
      </w:pPr>
      <w:bookmarkStart w:id="17" w:name="_Toc8555"/>
      <w:bookmarkStart w:id="18" w:name="_Toc398650620"/>
      <w:r>
        <w:rPr>
          <w:rFonts w:hint="eastAsia" w:asciiTheme="minorEastAsia" w:hAnsiTheme="minorEastAsia" w:cstheme="minorEastAsia"/>
          <w:sz w:val="24"/>
          <w:szCs w:val="24"/>
          <w:lang w:val="en-US" w:eastAsia="zh-CN"/>
        </w:rPr>
        <w:t>四、</w:t>
      </w:r>
      <w:r>
        <w:rPr>
          <w:rFonts w:hint="eastAsia" w:asciiTheme="minorEastAsia" w:hAnsiTheme="minorEastAsia" w:eastAsiaTheme="minorEastAsia" w:cstheme="minorEastAsia"/>
          <w:sz w:val="24"/>
          <w:szCs w:val="24"/>
          <w:lang w:val="en-US" w:eastAsia="zh-CN"/>
        </w:rPr>
        <w:t>质量保证及售后服务</w:t>
      </w:r>
      <w:bookmarkEnd w:id="17"/>
      <w:bookmarkEnd w:id="18"/>
    </w:p>
    <w:p>
      <w:pPr>
        <w:tabs>
          <w:tab w:val="left" w:pos="720"/>
        </w:tabs>
        <w:adjustRightInd w:val="0"/>
        <w:snapToGrid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1.质量保证期：自验收之日起，提供2年的免费服务质保期。</w:t>
      </w:r>
    </w:p>
    <w:p>
      <w:pPr>
        <w:tabs>
          <w:tab w:val="left" w:pos="720"/>
        </w:tabs>
        <w:adjustRightInd w:val="0"/>
        <w:snapToGrid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2.售后服务内容</w:t>
      </w:r>
    </w:p>
    <w:p>
      <w:pPr>
        <w:tabs>
          <w:tab w:val="left" w:pos="720"/>
        </w:tabs>
        <w:adjustRightInd w:val="0"/>
        <w:snapToGrid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供应商在服务质保期内应当为采购人提供以下技术支持服务：</w:t>
      </w:r>
    </w:p>
    <w:p>
      <w:pPr>
        <w:tabs>
          <w:tab w:val="left" w:pos="720"/>
        </w:tabs>
        <w:adjustRightInd w:val="0"/>
        <w:snapToGrid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（1）质保期内：甲方遇到使用及技术问题，乙方提供免费电话远程咨询服务，2小时内反馈意见，5小时内解决问题；电话远程咨询不能解决的，8小时内到达现场进行处理，在24小时内派出专业人员进行技术支持。</w:t>
      </w:r>
    </w:p>
    <w:p>
      <w:pPr>
        <w:tabs>
          <w:tab w:val="left" w:pos="720"/>
        </w:tabs>
        <w:adjustRightInd w:val="0"/>
        <w:snapToGrid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（2）质量保证期过后，成交供应商应同样提供免费电话咨询服务，并应承诺提供上门维护服务；应以优惠价格提供售后服务。</w:t>
      </w:r>
    </w:p>
    <w:p>
      <w:pPr>
        <w:tabs>
          <w:tab w:val="left" w:pos="720"/>
        </w:tabs>
        <w:adjustRightInd w:val="0"/>
        <w:snapToGrid w:val="0"/>
        <w:spacing w:line="360" w:lineRule="auto"/>
        <w:rPr>
          <w:rFonts w:hint="eastAsia" w:asciiTheme="minorEastAsia" w:hAnsiTheme="minorEastAsia" w:eastAsiaTheme="minorEastAsia" w:cstheme="minorEastAsia"/>
          <w:sz w:val="24"/>
          <w:szCs w:val="24"/>
          <w:lang w:val="en-US" w:eastAsia="zh-CN"/>
        </w:rPr>
      </w:pPr>
      <w:bookmarkStart w:id="19" w:name="_Toc24778"/>
      <w:bookmarkStart w:id="20" w:name="_Toc344475122"/>
      <w:r>
        <w:rPr>
          <w:rFonts w:hint="eastAsia" w:asciiTheme="minorEastAsia" w:hAnsiTheme="minorEastAsia" w:cstheme="minorEastAsia"/>
          <w:sz w:val="24"/>
          <w:szCs w:val="24"/>
          <w:lang w:val="en-US" w:eastAsia="zh-CN"/>
        </w:rPr>
        <w:t>五、</w:t>
      </w:r>
      <w:r>
        <w:rPr>
          <w:rFonts w:hint="eastAsia" w:asciiTheme="minorEastAsia" w:hAnsiTheme="minorEastAsia" w:eastAsiaTheme="minorEastAsia" w:cstheme="minorEastAsia"/>
          <w:sz w:val="24"/>
          <w:szCs w:val="24"/>
          <w:lang w:val="en-US" w:eastAsia="zh-CN"/>
        </w:rPr>
        <w:t>付款方式</w:t>
      </w:r>
      <w:bookmarkEnd w:id="19"/>
      <w:bookmarkEnd w:id="20"/>
    </w:p>
    <w:p>
      <w:pPr>
        <w:tabs>
          <w:tab w:val="left" w:pos="720"/>
        </w:tabs>
        <w:adjustRightInd w:val="0"/>
        <w:snapToGrid w:val="0"/>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1.合同签署前，中标人向采购人缴纳合同金额的5%作为履约保证金。项目验收合格后，采购人支付至合同金额的100%，中标人提供等额增值税发票。</w:t>
      </w:r>
    </w:p>
    <w:p>
      <w:pPr>
        <w:tabs>
          <w:tab w:val="left" w:pos="720"/>
        </w:tabs>
        <w:adjustRightInd w:val="0"/>
        <w:snapToGrid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2.因服务不善造成采购人财产和经济损失的，采购人在书面通知中标供应商后，有权从合同款中扣除相关损失的费用。</w:t>
      </w:r>
    </w:p>
    <w:p>
      <w:pPr>
        <w:tabs>
          <w:tab w:val="left" w:pos="720"/>
        </w:tabs>
        <w:adjustRightInd w:val="0"/>
        <w:snapToGrid w:val="0"/>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本项目履约担保的形式：现金或保函；采用保函形式的，保函必须为不可撤销且见索即付，履约保证金为中标金额的5%，履约担保的提交时间：在中标通知书领取后10个工作日，成交供应商按担保金额向采购人提交履约担保，否则视为放弃中标。履约保证金在合同履约验收合格后扣除应由供应商承担的违约金或赔偿费用后，在30个工作日内无息退还履约保证金。</w:t>
      </w:r>
    </w:p>
    <w:p>
      <w:pPr>
        <w:tabs>
          <w:tab w:val="left" w:pos="720"/>
        </w:tabs>
        <w:adjustRightInd w:val="0"/>
        <w:snapToGrid w:val="0"/>
        <w:spacing w:line="360" w:lineRule="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lang w:val="en-US" w:eastAsia="zh-CN"/>
        </w:rPr>
        <w:t>、</w:t>
      </w:r>
      <w:r>
        <w:rPr>
          <w:rFonts w:hint="default" w:asciiTheme="minorEastAsia" w:hAnsiTheme="minorEastAsia" w:eastAsiaTheme="minorEastAsia" w:cstheme="minorEastAsia"/>
          <w:sz w:val="24"/>
          <w:szCs w:val="24"/>
          <w:lang w:val="en-US" w:eastAsia="zh-CN"/>
        </w:rPr>
        <w:t>其他</w:t>
      </w:r>
    </w:p>
    <w:p>
      <w:pPr>
        <w:tabs>
          <w:tab w:val="left" w:pos="720"/>
        </w:tabs>
        <w:adjustRightInd w:val="0"/>
        <w:snapToGrid w:val="0"/>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1.供应商必须在响应文件中对以上条款和服务承诺明确列出，包括所提供服务的内容、服务质量要求、服务标准、服务指标、实施方案等。</w:t>
      </w:r>
    </w:p>
    <w:p>
      <w:pPr>
        <w:tabs>
          <w:tab w:val="left" w:pos="720"/>
        </w:tabs>
        <w:adjustRightInd w:val="0"/>
        <w:snapToGrid w:val="0"/>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2.项目服务过程中成交供应商原则上不得更换项目负责人，若因特殊原因确需变更，应符合采购时条件要求，并经采购人使用管理部门同意方可变更，否则视为违约。</w:t>
      </w:r>
    </w:p>
    <w:p>
      <w:pPr>
        <w:tabs>
          <w:tab w:val="left" w:pos="720"/>
        </w:tabs>
        <w:adjustRightInd w:val="0"/>
        <w:snapToGrid w:val="0"/>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3.成交供应商提供服务的人员应与投标时一致，服从采购人工作安排和日常管理，接受全过程监督，按时完成服务工作。</w:t>
      </w:r>
    </w:p>
    <w:p>
      <w:pPr>
        <w:tabs>
          <w:tab w:val="left" w:pos="720"/>
        </w:tabs>
        <w:adjustRightInd w:val="0"/>
        <w:snapToGrid w:val="0"/>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4.中标供应商不得将服务项目分包或转委托于其他任何机构。</w:t>
      </w:r>
    </w:p>
    <w:p>
      <w:pPr>
        <w:tabs>
          <w:tab w:val="left" w:pos="720"/>
        </w:tabs>
        <w:adjustRightInd w:val="0"/>
        <w:snapToGrid w:val="0"/>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5.其他未尽事宜由供需双方在采购合同中详细约定。</w:t>
      </w:r>
    </w:p>
    <w:p>
      <w:pPr>
        <w:tabs>
          <w:tab w:val="left" w:pos="720"/>
        </w:tabs>
        <w:adjustRightInd w:val="0"/>
        <w:snapToGrid w:val="0"/>
        <w:spacing w:line="360" w:lineRule="auto"/>
        <w:rPr>
          <w:rFonts w:hint="default" w:asciiTheme="minorEastAsia" w:hAnsiTheme="minorEastAsia" w:eastAsiaTheme="minorEastAsia" w:cstheme="minorEastAsia"/>
          <w:sz w:val="24"/>
          <w:szCs w:val="24"/>
          <w:lang w:val="en-US" w:eastAsia="zh-CN"/>
        </w:rPr>
      </w:pPr>
    </w:p>
    <w:p>
      <w:pPr>
        <w:tabs>
          <w:tab w:val="left" w:pos="720"/>
        </w:tabs>
        <w:adjustRightInd w:val="0"/>
        <w:snapToGrid w:val="0"/>
        <w:spacing w:line="360" w:lineRule="auto"/>
        <w:rPr>
          <w:rFonts w:hint="default" w:asciiTheme="minorEastAsia" w:hAnsiTheme="minorEastAsia" w:eastAsiaTheme="minorEastAsia" w:cstheme="minorEastAsia"/>
          <w:sz w:val="24"/>
          <w:szCs w:val="24"/>
          <w:lang w:val="en-US" w:eastAsia="zh-CN"/>
        </w:rPr>
      </w:pPr>
    </w:p>
    <w:p>
      <w:pPr>
        <w:pStyle w:val="3"/>
        <w:spacing w:beforeLines="0" w:afterLines="0" w:line="240" w:lineRule="auto"/>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pStyle w:val="2"/>
        <w:rPr>
          <w:rFonts w:hint="eastAsia"/>
        </w:rPr>
      </w:pPr>
    </w:p>
    <w:p>
      <w:pPr>
        <w:pStyle w:val="3"/>
        <w:spacing w:beforeLines="0" w:afterLines="0" w:line="240" w:lineRule="auto"/>
        <w:rPr>
          <w:rFonts w:hint="eastAsia" w:ascii="宋体" w:hAnsi="宋体" w:eastAsia="宋体" w:cs="宋体"/>
          <w:b/>
          <w:bCs/>
          <w:color w:val="auto"/>
          <w:sz w:val="28"/>
          <w:szCs w:val="28"/>
          <w:highlight w:val="none"/>
        </w:rPr>
      </w:pPr>
    </w:p>
    <w:p>
      <w:pPr>
        <w:pStyle w:val="3"/>
        <w:spacing w:beforeLines="0" w:afterLines="0" w:line="240" w:lineRule="auto"/>
        <w:rPr>
          <w:rFonts w:hint="eastAsia" w:ascii="宋体" w:hAnsi="宋体" w:eastAsia="宋体" w:cs="宋体"/>
          <w:b/>
          <w:bCs/>
          <w:color w:val="auto"/>
          <w:sz w:val="28"/>
          <w:szCs w:val="28"/>
          <w:highlight w:val="none"/>
        </w:rPr>
      </w:pPr>
    </w:p>
    <w:p>
      <w:pPr>
        <w:pStyle w:val="3"/>
        <w:spacing w:beforeLines="0" w:afterLines="0" w:line="240" w:lineRule="auto"/>
        <w:rPr>
          <w:rFonts w:hint="eastAsia" w:ascii="宋体" w:hAnsi="宋体" w:eastAsia="宋体" w:cs="宋体"/>
          <w:b/>
          <w:bCs/>
          <w:color w:val="auto"/>
          <w:sz w:val="28"/>
          <w:szCs w:val="28"/>
          <w:highlight w:val="none"/>
        </w:rPr>
      </w:pPr>
    </w:p>
    <w:p>
      <w:pPr>
        <w:pStyle w:val="3"/>
        <w:spacing w:beforeLines="0" w:afterLines="0" w:line="240" w:lineRule="auto"/>
        <w:rPr>
          <w:rFonts w:hint="eastAsia" w:ascii="宋体" w:hAnsi="宋体" w:eastAsia="宋体" w:cs="宋体"/>
          <w:b/>
          <w:bCs/>
          <w:color w:val="auto"/>
          <w:sz w:val="28"/>
          <w:szCs w:val="28"/>
          <w:highlight w:val="none"/>
        </w:rPr>
      </w:pPr>
    </w:p>
    <w:p>
      <w:pPr>
        <w:pStyle w:val="3"/>
        <w:spacing w:beforeLines="0" w:afterLines="0" w:line="240" w:lineRule="auto"/>
        <w:rPr>
          <w:rFonts w:hint="eastAsia" w:ascii="宋体" w:hAnsi="宋体" w:eastAsia="宋体" w:cs="宋体"/>
          <w:b/>
          <w:bCs/>
          <w:color w:val="auto"/>
          <w:sz w:val="28"/>
          <w:szCs w:val="28"/>
          <w:highlight w:val="none"/>
        </w:rPr>
      </w:pPr>
    </w:p>
    <w:bookmarkEnd w:id="16"/>
    <w:p>
      <w:pPr>
        <w:adjustRightInd w:val="0"/>
        <w:snapToGrid w:val="0"/>
        <w:spacing w:line="360" w:lineRule="auto"/>
        <w:ind w:firstLine="413" w:firstLineChars="196"/>
        <w:rPr>
          <w:rFonts w:hint="eastAsia" w:ascii="宋体" w:hAnsi="宋体" w:eastAsia="宋体" w:cs="宋体"/>
          <w:b/>
          <w:color w:val="auto"/>
          <w:szCs w:val="21"/>
          <w:highlight w:val="none"/>
        </w:rPr>
      </w:pPr>
    </w:p>
    <w:p>
      <w:pPr>
        <w:numPr>
          <w:ilvl w:val="0"/>
          <w:numId w:val="0"/>
        </w:numPr>
        <w:adjustRightInd w:val="0"/>
        <w:snapToGrid w:val="0"/>
        <w:spacing w:line="360" w:lineRule="auto"/>
        <w:rPr>
          <w:rFonts w:hint="eastAsia" w:ascii="宋体" w:hAnsi="宋体" w:cs="宋体"/>
          <w:b/>
          <w:color w:val="auto"/>
          <w:sz w:val="24"/>
          <w:szCs w:val="24"/>
          <w:highlight w:val="none"/>
          <w:lang w:eastAsia="zh-CN"/>
        </w:rPr>
      </w:pPr>
    </w:p>
    <w:p>
      <w:pPr>
        <w:pStyle w:val="3"/>
        <w:spacing w:beforeLines="0" w:afterLines="0" w:line="240" w:lineRule="auto"/>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第</w:t>
      </w:r>
      <w:r>
        <w:rPr>
          <w:rFonts w:hint="eastAsia" w:ascii="宋体" w:hAnsi="宋体" w:eastAsia="宋体" w:cs="宋体"/>
          <w:b/>
          <w:bCs/>
          <w:color w:val="auto"/>
          <w:sz w:val="28"/>
          <w:szCs w:val="28"/>
          <w:highlight w:val="none"/>
          <w:lang w:eastAsia="zh-CN"/>
        </w:rPr>
        <w:t>四</w:t>
      </w:r>
      <w:r>
        <w:rPr>
          <w:rFonts w:hint="eastAsia" w:ascii="宋体" w:hAnsi="宋体" w:eastAsia="宋体" w:cs="宋体"/>
          <w:b/>
          <w:bCs/>
          <w:color w:val="auto"/>
          <w:sz w:val="28"/>
          <w:szCs w:val="28"/>
          <w:highlight w:val="none"/>
        </w:rPr>
        <w:t>篇  评标方法、成交原则、无效投标条款和废标条款</w:t>
      </w:r>
    </w:p>
    <w:p>
      <w:pPr>
        <w:numPr>
          <w:ilvl w:val="0"/>
          <w:numId w:val="0"/>
        </w:numPr>
        <w:adjustRightInd w:val="0"/>
        <w:snapToGrid w:val="0"/>
        <w:spacing w:line="360" w:lineRule="auto"/>
        <w:rPr>
          <w:rFonts w:hint="eastAsia" w:ascii="宋体" w:hAnsi="宋体" w:cs="宋体"/>
          <w:b/>
          <w:color w:val="auto"/>
          <w:sz w:val="24"/>
          <w:szCs w:val="24"/>
          <w:highlight w:val="none"/>
          <w:lang w:eastAsia="zh-CN"/>
        </w:rPr>
      </w:pPr>
    </w:p>
    <w:p>
      <w:pPr>
        <w:numPr>
          <w:ilvl w:val="0"/>
          <w:numId w:val="0"/>
        </w:numPr>
        <w:adjustRightInd w:val="0"/>
        <w:snapToGrid w:val="0"/>
        <w:spacing w:line="360" w:lineRule="auto"/>
        <w:rPr>
          <w:rFonts w:hint="eastAsia" w:ascii="宋体" w:hAnsi="宋体" w:cs="宋体"/>
          <w:b/>
          <w:color w:val="auto"/>
          <w:sz w:val="24"/>
          <w:szCs w:val="24"/>
          <w:highlight w:val="none"/>
          <w:lang w:eastAsia="zh-CN"/>
        </w:rPr>
      </w:pPr>
      <w:r>
        <w:rPr>
          <w:rFonts w:hint="eastAsia" w:ascii="宋体" w:hAnsi="宋体" w:cs="宋体"/>
          <w:b/>
          <w:color w:val="auto"/>
          <w:sz w:val="24"/>
          <w:szCs w:val="24"/>
          <w:highlight w:val="none"/>
          <w:lang w:eastAsia="zh-CN"/>
        </w:rPr>
        <w:t>一、竞争性磋商程序及方法</w:t>
      </w:r>
    </w:p>
    <w:p>
      <w:pPr>
        <w:pStyle w:val="4"/>
        <w:numPr>
          <w:ilvl w:val="0"/>
          <w:numId w:val="0"/>
        </w:numPr>
        <w:jc w:val="left"/>
        <w:rPr>
          <w:rFonts w:hint="eastAsia" w:asciiTheme="minorEastAsia" w:hAnsiTheme="minorEastAsia" w:eastAsiaTheme="minorEastAsia" w:cstheme="minorEastAsia"/>
          <w:b w:val="0"/>
          <w:bCs/>
          <w:color w:val="auto"/>
          <w:highlight w:val="none"/>
          <w:lang w:eastAsia="zh-CN"/>
        </w:rPr>
      </w:pPr>
      <w:r>
        <w:rPr>
          <w:rFonts w:hint="eastAsia" w:asciiTheme="minorEastAsia" w:hAnsiTheme="minorEastAsia" w:eastAsiaTheme="minorEastAsia" w:cstheme="minorEastAsia"/>
          <w:b w:val="0"/>
          <w:bCs/>
          <w:color w:val="auto"/>
          <w:highlight w:val="none"/>
          <w:lang w:eastAsia="zh-CN"/>
        </w:rPr>
        <w:t>（一）磋商按竞争性磋商文件规定的时间和地点进行，供应商须有法定代表人或其授权代表参加并签到。竞争性磋商以抽签的形式确定磋商顺序，由本项目依法组建的评审小组分别与各供应商进行磋商。</w:t>
      </w:r>
    </w:p>
    <w:p>
      <w:pPr>
        <w:pStyle w:val="4"/>
        <w:numPr>
          <w:ilvl w:val="0"/>
          <w:numId w:val="0"/>
        </w:numPr>
        <w:jc w:val="lef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b w:val="0"/>
          <w:bCs/>
          <w:color w:val="auto"/>
          <w:highlight w:val="none"/>
          <w:lang w:eastAsia="zh-CN"/>
        </w:rPr>
        <w:t>（二）评审小组对各供应商的资格条件、响应文件的有效性、完整性和响应程度进行审查。各供应商只有通过了资格性审查、符合性审查的前提下，才能参与正式磋商，有资格进行最终报价。已提交响应文件但未在规定时间内进行最后报价的供应商，视为放弃最后报价，以供应商响应文件中的报价为准。</w:t>
      </w:r>
    </w:p>
    <w:p>
      <w:pPr>
        <w:adjustRightInd w:val="0"/>
        <w:snapToGrid w:val="0"/>
        <w:spacing w:line="360" w:lineRule="auto"/>
        <w:ind w:firstLine="470" w:firstLineChars="196"/>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资格性检查是依据法律法规和采购文件的规定，对投标文件中的资格证明进行审查，以确定投标人是否具备投标资格。资格性检查资料表如下：</w:t>
      </w:r>
    </w:p>
    <w:tbl>
      <w:tblPr>
        <w:tblStyle w:val="1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679"/>
        <w:gridCol w:w="3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676" w:type="dxa"/>
            <w:vAlign w:val="center"/>
          </w:tcPr>
          <w:p>
            <w:pPr>
              <w:spacing w:line="24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5388" w:type="dxa"/>
            <w:gridSpan w:val="2"/>
            <w:vAlign w:val="center"/>
          </w:tcPr>
          <w:p>
            <w:pPr>
              <w:spacing w:line="24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检查因素</w:t>
            </w:r>
          </w:p>
        </w:tc>
        <w:tc>
          <w:tcPr>
            <w:tcW w:w="3564" w:type="dxa"/>
            <w:vAlign w:val="center"/>
          </w:tcPr>
          <w:p>
            <w:pPr>
              <w:spacing w:line="24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5" w:hRule="atLeast"/>
        </w:trPr>
        <w:tc>
          <w:tcPr>
            <w:tcW w:w="676" w:type="dxa"/>
            <w:vMerge w:val="restart"/>
            <w:vAlign w:val="center"/>
          </w:tcPr>
          <w:p>
            <w:pPr>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09" w:type="dxa"/>
            <w:vMerge w:val="restart"/>
            <w:vAlign w:val="center"/>
          </w:tcPr>
          <w:p>
            <w:pPr>
              <w:spacing w:line="24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应符合的基本资格条件</w:t>
            </w:r>
          </w:p>
        </w:tc>
        <w:tc>
          <w:tcPr>
            <w:tcW w:w="4679" w:type="dxa"/>
            <w:vAlign w:val="center"/>
          </w:tcPr>
          <w:p>
            <w:pPr>
              <w:spacing w:line="2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tc>
        <w:tc>
          <w:tcPr>
            <w:tcW w:w="3564" w:type="dxa"/>
            <w:vAlign w:val="center"/>
          </w:tcPr>
          <w:p>
            <w:pPr>
              <w:spacing w:line="2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营业执照、税务登记证、组织机构代码证复印件加盖鲜章；（或“三证合一版”营业执照）</w:t>
            </w:r>
          </w:p>
          <w:p>
            <w:pPr>
              <w:spacing w:line="240" w:lineRule="exact"/>
              <w:rPr>
                <w:rFonts w:hint="eastAsia" w:ascii="宋体" w:hAnsi="宋体" w:eastAsia="宋体" w:cs="宋体"/>
                <w:color w:val="auto"/>
                <w:sz w:val="24"/>
                <w:szCs w:val="24"/>
                <w:highlight w:val="none"/>
              </w:rPr>
            </w:pPr>
            <w:r>
              <w:rPr>
                <w:rFonts w:hint="eastAsia" w:ascii="宋体" w:hAnsi="宋体" w:eastAsia="宋体" w:cs="宋体"/>
                <w:color w:val="auto"/>
                <w:sz w:val="22"/>
                <w:szCs w:val="22"/>
                <w:highlight w:val="none"/>
              </w:rPr>
              <w:t>法定代表人身份证明和法定代表人授权代表委托书；（法定代表人参加竞标活动并签署文件的不需要授权委托书，只需提供法定代表人身份证明；非法定代表人参加竞标活动及签署文件的除提供法定代表人身份证明外还须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5" w:hRule="atLeast"/>
        </w:trPr>
        <w:tc>
          <w:tcPr>
            <w:tcW w:w="676" w:type="dxa"/>
            <w:vMerge w:val="continue"/>
            <w:vAlign w:val="center"/>
          </w:tcPr>
          <w:p>
            <w:pPr>
              <w:spacing w:line="240" w:lineRule="exact"/>
              <w:jc w:val="center"/>
              <w:rPr>
                <w:rFonts w:hint="eastAsia" w:ascii="宋体" w:hAnsi="宋体" w:eastAsia="宋体" w:cs="宋体"/>
                <w:color w:val="auto"/>
                <w:sz w:val="24"/>
                <w:szCs w:val="24"/>
                <w:highlight w:val="none"/>
              </w:rPr>
            </w:pPr>
          </w:p>
        </w:tc>
        <w:tc>
          <w:tcPr>
            <w:tcW w:w="709" w:type="dxa"/>
            <w:vMerge w:val="continue"/>
            <w:vAlign w:val="center"/>
          </w:tcPr>
          <w:p>
            <w:pPr>
              <w:spacing w:line="240" w:lineRule="exact"/>
              <w:rPr>
                <w:rFonts w:hint="eastAsia" w:ascii="宋体" w:hAnsi="宋体" w:eastAsia="宋体" w:cs="宋体"/>
                <w:color w:val="auto"/>
                <w:sz w:val="24"/>
                <w:szCs w:val="24"/>
                <w:highlight w:val="none"/>
                <w:lang w:val="zh-CN"/>
              </w:rPr>
            </w:pPr>
          </w:p>
        </w:tc>
        <w:tc>
          <w:tcPr>
            <w:tcW w:w="4679" w:type="dxa"/>
            <w:vAlign w:val="center"/>
          </w:tcPr>
          <w:p>
            <w:pPr>
              <w:spacing w:line="2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具有良好的商业信誉和健全的财务会计制度</w:t>
            </w:r>
          </w:p>
        </w:tc>
        <w:tc>
          <w:tcPr>
            <w:tcW w:w="3564" w:type="dxa"/>
            <w:vAlign w:val="center"/>
          </w:tcPr>
          <w:p>
            <w:pPr>
              <w:spacing w:line="240" w:lineRule="exact"/>
              <w:rPr>
                <w:rFonts w:hint="eastAsia" w:ascii="宋体" w:hAnsi="宋体" w:eastAsia="宋体" w:cs="宋体"/>
                <w:color w:val="auto"/>
                <w:sz w:val="24"/>
                <w:szCs w:val="24"/>
                <w:highlight w:val="none"/>
              </w:rPr>
            </w:pPr>
            <w:r>
              <w:rPr>
                <w:rFonts w:hint="eastAsia" w:ascii="宋体" w:hAnsi="宋体" w:eastAsia="宋体" w:cs="宋体"/>
                <w:color w:val="auto"/>
                <w:sz w:val="22"/>
                <w:szCs w:val="22"/>
                <w:highlight w:val="none"/>
              </w:rPr>
              <w:t>提供</w:t>
            </w:r>
            <w:r>
              <w:rPr>
                <w:rFonts w:hint="eastAsia" w:ascii="宋体" w:hAnsi="宋体" w:cs="宋体"/>
                <w:color w:val="auto"/>
                <w:sz w:val="22"/>
                <w:szCs w:val="22"/>
                <w:highlight w:val="none"/>
                <w:lang w:val="en-US" w:eastAsia="zh-CN"/>
              </w:rPr>
              <w:t>2021</w:t>
            </w:r>
            <w:r>
              <w:rPr>
                <w:rFonts w:hint="eastAsia" w:ascii="宋体" w:hAnsi="宋体" w:eastAsia="宋体" w:cs="宋体"/>
                <w:color w:val="auto"/>
                <w:sz w:val="22"/>
                <w:szCs w:val="22"/>
                <w:highlight w:val="none"/>
              </w:rPr>
              <w:t>年度</w:t>
            </w:r>
            <w:r>
              <w:rPr>
                <w:rFonts w:hint="eastAsia" w:ascii="宋体" w:hAnsi="宋体" w:cs="宋体"/>
                <w:color w:val="auto"/>
                <w:sz w:val="22"/>
                <w:szCs w:val="22"/>
                <w:highlight w:val="none"/>
                <w:lang w:eastAsia="zh-CN"/>
              </w:rPr>
              <w:t>或</w:t>
            </w:r>
            <w:r>
              <w:rPr>
                <w:rFonts w:hint="eastAsia" w:ascii="宋体" w:hAnsi="宋体" w:cs="宋体"/>
                <w:color w:val="auto"/>
                <w:sz w:val="22"/>
                <w:szCs w:val="22"/>
                <w:highlight w:val="none"/>
                <w:lang w:val="en-US" w:eastAsia="zh-CN"/>
              </w:rPr>
              <w:t>2022年度</w:t>
            </w:r>
            <w:r>
              <w:rPr>
                <w:rFonts w:hint="eastAsia" w:ascii="宋体" w:hAnsi="宋体" w:eastAsia="宋体" w:cs="宋体"/>
                <w:color w:val="auto"/>
                <w:sz w:val="22"/>
                <w:szCs w:val="22"/>
                <w:highlight w:val="none"/>
              </w:rPr>
              <w:t>财务状况报告（表）复印件，本年度新成立的公司提供提交响应文件截止时间前一个月的财务状况报告（表）复印件。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676" w:type="dxa"/>
            <w:vMerge w:val="continue"/>
            <w:vAlign w:val="center"/>
          </w:tcPr>
          <w:p>
            <w:pPr>
              <w:spacing w:line="240" w:lineRule="exact"/>
              <w:jc w:val="center"/>
              <w:rPr>
                <w:rFonts w:hint="eastAsia" w:ascii="宋体" w:hAnsi="宋体" w:eastAsia="宋体" w:cs="宋体"/>
                <w:color w:val="auto"/>
                <w:sz w:val="24"/>
                <w:szCs w:val="24"/>
                <w:highlight w:val="none"/>
              </w:rPr>
            </w:pPr>
          </w:p>
        </w:tc>
        <w:tc>
          <w:tcPr>
            <w:tcW w:w="709" w:type="dxa"/>
            <w:vMerge w:val="continue"/>
            <w:vAlign w:val="center"/>
          </w:tcPr>
          <w:p>
            <w:pPr>
              <w:spacing w:line="240" w:lineRule="exact"/>
              <w:rPr>
                <w:rFonts w:hint="eastAsia" w:ascii="宋体" w:hAnsi="宋体" w:eastAsia="宋体" w:cs="宋体"/>
                <w:color w:val="auto"/>
                <w:sz w:val="24"/>
                <w:szCs w:val="24"/>
                <w:highlight w:val="none"/>
                <w:lang w:val="zh-CN"/>
              </w:rPr>
            </w:pPr>
          </w:p>
        </w:tc>
        <w:tc>
          <w:tcPr>
            <w:tcW w:w="4679" w:type="dxa"/>
            <w:vAlign w:val="center"/>
          </w:tcPr>
          <w:p>
            <w:pPr>
              <w:spacing w:line="24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（3）具有履行合同所必需的设备和专业技术能力</w:t>
            </w:r>
          </w:p>
        </w:tc>
        <w:tc>
          <w:tcPr>
            <w:tcW w:w="3564" w:type="dxa"/>
            <w:vAlign w:val="center"/>
          </w:tcPr>
          <w:p>
            <w:pPr>
              <w:spacing w:line="2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676" w:type="dxa"/>
            <w:vMerge w:val="continue"/>
            <w:vAlign w:val="center"/>
          </w:tcPr>
          <w:p>
            <w:pPr>
              <w:spacing w:line="240" w:lineRule="exact"/>
              <w:jc w:val="center"/>
              <w:rPr>
                <w:rFonts w:hint="eastAsia" w:ascii="宋体" w:hAnsi="宋体" w:eastAsia="宋体" w:cs="宋体"/>
                <w:color w:val="auto"/>
                <w:sz w:val="24"/>
                <w:szCs w:val="24"/>
                <w:highlight w:val="none"/>
              </w:rPr>
            </w:pPr>
          </w:p>
        </w:tc>
        <w:tc>
          <w:tcPr>
            <w:tcW w:w="709" w:type="dxa"/>
            <w:vMerge w:val="continue"/>
            <w:vAlign w:val="center"/>
          </w:tcPr>
          <w:p>
            <w:pPr>
              <w:spacing w:line="240" w:lineRule="exact"/>
              <w:rPr>
                <w:rFonts w:hint="eastAsia" w:ascii="宋体" w:hAnsi="宋体" w:eastAsia="宋体" w:cs="宋体"/>
                <w:color w:val="auto"/>
                <w:sz w:val="24"/>
                <w:szCs w:val="24"/>
                <w:highlight w:val="none"/>
                <w:lang w:val="zh-CN"/>
              </w:rPr>
            </w:pPr>
          </w:p>
        </w:tc>
        <w:tc>
          <w:tcPr>
            <w:tcW w:w="4679" w:type="dxa"/>
            <w:vAlign w:val="center"/>
          </w:tcPr>
          <w:p>
            <w:pPr>
              <w:spacing w:line="24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（4）有依法缴纳税收和社会保障金的良好记录</w:t>
            </w:r>
          </w:p>
        </w:tc>
        <w:tc>
          <w:tcPr>
            <w:tcW w:w="3564" w:type="dxa"/>
            <w:vAlign w:val="center"/>
          </w:tcPr>
          <w:p>
            <w:pPr>
              <w:spacing w:line="2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税务登记证（副本）复印件和社会保险缴纳证明材料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vAlign w:val="center"/>
          </w:tcPr>
          <w:p>
            <w:pPr>
              <w:spacing w:line="240" w:lineRule="exact"/>
              <w:jc w:val="center"/>
              <w:rPr>
                <w:rFonts w:hint="eastAsia" w:ascii="宋体" w:hAnsi="宋体" w:eastAsia="宋体" w:cs="宋体"/>
                <w:color w:val="auto"/>
                <w:sz w:val="24"/>
                <w:szCs w:val="24"/>
                <w:highlight w:val="none"/>
              </w:rPr>
            </w:pPr>
          </w:p>
        </w:tc>
        <w:tc>
          <w:tcPr>
            <w:tcW w:w="709" w:type="dxa"/>
            <w:vMerge w:val="continue"/>
            <w:vAlign w:val="center"/>
          </w:tcPr>
          <w:p>
            <w:pPr>
              <w:spacing w:line="240" w:lineRule="exact"/>
              <w:rPr>
                <w:rFonts w:hint="eastAsia" w:ascii="宋体" w:hAnsi="宋体" w:eastAsia="宋体" w:cs="宋体"/>
                <w:color w:val="auto"/>
                <w:sz w:val="24"/>
                <w:szCs w:val="24"/>
                <w:highlight w:val="none"/>
                <w:lang w:val="zh-CN"/>
              </w:rPr>
            </w:pPr>
          </w:p>
        </w:tc>
        <w:tc>
          <w:tcPr>
            <w:tcW w:w="4679" w:type="dxa"/>
            <w:vAlign w:val="center"/>
          </w:tcPr>
          <w:p>
            <w:pPr>
              <w:spacing w:line="24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（5）参加政府采购活动前三年内，在经营活动中没有重大违法记录</w:t>
            </w:r>
          </w:p>
        </w:tc>
        <w:tc>
          <w:tcPr>
            <w:tcW w:w="3564" w:type="dxa"/>
            <w:vAlign w:val="center"/>
          </w:tcPr>
          <w:p>
            <w:pPr>
              <w:spacing w:line="240" w:lineRule="exact"/>
              <w:rPr>
                <w:rFonts w:hint="eastAsia" w:ascii="仿宋_GB2312" w:hAnsi="宋体" w:eastAsia="仿宋_GB2312"/>
                <w:color w:val="auto"/>
                <w:szCs w:val="21"/>
                <w:highlight w:val="none"/>
              </w:rPr>
            </w:pPr>
            <w:r>
              <w:rPr>
                <w:rFonts w:hint="eastAsia" w:ascii="仿宋_GB2312" w:hAnsi="宋体" w:eastAsia="仿宋_GB2312"/>
                <w:color w:val="auto"/>
                <w:szCs w:val="21"/>
                <w:highlight w:val="none"/>
                <w:lang w:val="en-US" w:eastAsia="zh-CN"/>
              </w:rPr>
              <w:t>1.</w:t>
            </w:r>
            <w:r>
              <w:rPr>
                <w:rFonts w:hint="eastAsia" w:ascii="仿宋_GB2312" w:hAnsi="宋体" w:eastAsia="仿宋_GB2312"/>
                <w:color w:val="auto"/>
                <w:szCs w:val="21"/>
                <w:highlight w:val="none"/>
              </w:rPr>
              <w:t>供应商提供书面声明</w:t>
            </w:r>
          </w:p>
          <w:p>
            <w:pPr>
              <w:spacing w:line="240" w:lineRule="exact"/>
              <w:rPr>
                <w:rFonts w:hint="eastAsia" w:ascii="仿宋_GB2312" w:hAnsi="宋体" w:eastAsia="仿宋_GB2312"/>
                <w:color w:val="auto"/>
                <w:szCs w:val="21"/>
                <w:highlight w:val="none"/>
              </w:rPr>
            </w:pPr>
            <w:r>
              <w:rPr>
                <w:rFonts w:hint="eastAsia" w:ascii="仿宋_GB2312" w:hAnsi="宋体" w:eastAsia="仿宋_GB2312"/>
                <w:color w:val="auto"/>
                <w:szCs w:val="21"/>
                <w:highlight w:val="none"/>
                <w:lang w:val="en-US" w:eastAsia="zh-CN"/>
              </w:rPr>
              <w:t>2</w:t>
            </w:r>
            <w:r>
              <w:rPr>
                <w:rFonts w:hint="eastAsia" w:ascii="仿宋_GB2312" w:hAnsi="宋体" w:eastAsia="仿宋_GB2312"/>
                <w:color w:val="auto"/>
                <w:szCs w:val="21"/>
                <w:highlight w:val="none"/>
              </w:rPr>
              <w:t>“信用中国”网站(www.creditchina.gov.cn)、"中国政府采购网"(www.ccgp.gov.cn)等渠道查询投标人信用记录（失信被执行人、重大税收违法案件当事人名单、政府采购严重违法失信行为记录名单，建议查询结果网页打印</w:t>
            </w:r>
            <w:r>
              <w:rPr>
                <w:rFonts w:hint="eastAsia" w:ascii="仿宋_GB2312" w:hAnsi="宋体" w:eastAsia="仿宋_GB2312"/>
                <w:color w:val="auto"/>
                <w:szCs w:val="21"/>
                <w:highlight w:val="none"/>
                <w:lang w:eastAsia="zh-CN"/>
              </w:rPr>
              <w:t>（截图含网址）</w:t>
            </w:r>
            <w:r>
              <w:rPr>
                <w:rFonts w:hint="eastAsia" w:ascii="仿宋_GB2312" w:hAnsi="宋体" w:eastAsia="仿宋_GB2312"/>
                <w:color w:val="auto"/>
                <w:szCs w:val="21"/>
                <w:highlight w:val="none"/>
              </w:rPr>
              <w:t>并加盖投标人公章）</w:t>
            </w:r>
          </w:p>
          <w:p>
            <w:pPr>
              <w:spacing w:line="240" w:lineRule="exact"/>
              <w:rPr>
                <w:rFonts w:hint="eastAsia" w:ascii="宋体" w:hAnsi="宋体" w:eastAsia="宋体" w:cs="宋体"/>
                <w:color w:val="auto"/>
                <w:sz w:val="24"/>
                <w:szCs w:val="24"/>
                <w:highlight w:val="none"/>
              </w:rPr>
            </w:pPr>
            <w:r>
              <w:rPr>
                <w:rFonts w:hint="eastAsia" w:ascii="仿宋_GB2312" w:hAnsi="宋体" w:eastAsia="仿宋_GB2312"/>
                <w:color w:val="auto"/>
                <w:szCs w:val="21"/>
                <w:highlight w:val="none"/>
              </w:rPr>
              <w:t>3.以上查询时间为本项目采购公告发布之日起至响应文件递交截止时间前。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vAlign w:val="center"/>
          </w:tcPr>
          <w:p>
            <w:pPr>
              <w:spacing w:line="240" w:lineRule="exact"/>
              <w:jc w:val="center"/>
              <w:rPr>
                <w:rFonts w:hint="eastAsia" w:ascii="宋体" w:hAnsi="宋体" w:eastAsia="宋体" w:cs="宋体"/>
                <w:color w:val="auto"/>
                <w:sz w:val="24"/>
                <w:szCs w:val="24"/>
                <w:highlight w:val="none"/>
              </w:rPr>
            </w:pPr>
          </w:p>
        </w:tc>
        <w:tc>
          <w:tcPr>
            <w:tcW w:w="709" w:type="dxa"/>
            <w:vMerge w:val="continue"/>
            <w:vAlign w:val="center"/>
          </w:tcPr>
          <w:p>
            <w:pPr>
              <w:spacing w:line="240" w:lineRule="exact"/>
              <w:rPr>
                <w:rFonts w:hint="eastAsia" w:ascii="宋体" w:hAnsi="宋体" w:eastAsia="宋体" w:cs="宋体"/>
                <w:color w:val="auto"/>
                <w:sz w:val="24"/>
                <w:szCs w:val="24"/>
                <w:highlight w:val="none"/>
                <w:lang w:val="zh-CN"/>
              </w:rPr>
            </w:pPr>
          </w:p>
        </w:tc>
        <w:tc>
          <w:tcPr>
            <w:tcW w:w="4679" w:type="dxa"/>
            <w:vAlign w:val="center"/>
          </w:tcPr>
          <w:p>
            <w:pPr>
              <w:spacing w:line="2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tc>
        <w:tc>
          <w:tcPr>
            <w:tcW w:w="3564" w:type="dxa"/>
            <w:vAlign w:val="center"/>
          </w:tcPr>
          <w:p>
            <w:pPr>
              <w:spacing w:line="2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676" w:type="dxa"/>
            <w:vAlign w:val="center"/>
          </w:tcPr>
          <w:p>
            <w:pPr>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388" w:type="dxa"/>
            <w:gridSpan w:val="2"/>
            <w:vAlign w:val="center"/>
          </w:tcPr>
          <w:p>
            <w:pPr>
              <w:spacing w:line="2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特定资格条件</w:t>
            </w:r>
          </w:p>
        </w:tc>
        <w:tc>
          <w:tcPr>
            <w:tcW w:w="3564" w:type="dxa"/>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第一篇</w:t>
            </w: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rPr>
              <w:t>四、投标人资格要求（二）特定资格条件”要求的证明材料</w:t>
            </w:r>
            <w:r>
              <w:rPr>
                <w:rFonts w:hint="eastAsia" w:ascii="宋体" w:hAnsi="宋体" w:eastAsia="宋体" w:cs="宋体"/>
                <w:color w:val="auto"/>
                <w:sz w:val="24"/>
                <w:szCs w:val="24"/>
                <w:highlight w:val="none"/>
              </w:rPr>
              <w:t>或相关承诺的复印件加盖公章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676" w:type="dxa"/>
            <w:vAlign w:val="center"/>
          </w:tcPr>
          <w:p>
            <w:pPr>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388" w:type="dxa"/>
            <w:gridSpan w:val="2"/>
            <w:vAlign w:val="center"/>
          </w:tcPr>
          <w:p>
            <w:pPr>
              <w:spacing w:line="2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保证金</w:t>
            </w:r>
          </w:p>
        </w:tc>
        <w:tc>
          <w:tcPr>
            <w:tcW w:w="3564" w:type="dxa"/>
            <w:vAlign w:val="center"/>
          </w:tcPr>
          <w:p>
            <w:pPr>
              <w:spacing w:line="2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符合采购文件</w:t>
            </w:r>
            <w:r>
              <w:rPr>
                <w:rFonts w:hint="eastAsia" w:ascii="宋体" w:hAnsi="宋体" w:cs="宋体"/>
                <w:color w:val="auto"/>
                <w:sz w:val="24"/>
                <w:szCs w:val="24"/>
                <w:highlight w:val="none"/>
                <w:lang w:eastAsia="zh-CN"/>
              </w:rPr>
              <w:t>要求</w:t>
            </w:r>
          </w:p>
        </w:tc>
      </w:tr>
    </w:tbl>
    <w:p>
      <w:pPr>
        <w:snapToGrid w:val="0"/>
        <w:spacing w:line="400" w:lineRule="exact"/>
        <w:rPr>
          <w:rFonts w:hint="eastAsia" w:ascii="宋体" w:hAnsi="宋体" w:eastAsia="宋体" w:cs="宋体"/>
          <w:color w:val="auto"/>
          <w:sz w:val="24"/>
          <w:szCs w:val="24"/>
          <w:highlight w:val="none"/>
        </w:rPr>
      </w:pP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符合性检查是依据谈判文件的规定，从投标文件的有效性、完整性和对采购文件的响应程度进行审查，以确定投标人是否对采购文件的实质性要求作出响应。符合性检查资料表如下：</w:t>
      </w:r>
    </w:p>
    <w:tbl>
      <w:tblPr>
        <w:tblStyle w:val="1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pPr>
              <w:spacing w:line="24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3544" w:type="dxa"/>
            <w:gridSpan w:val="2"/>
            <w:vAlign w:val="center"/>
          </w:tcPr>
          <w:p>
            <w:pPr>
              <w:spacing w:line="24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评审因素</w:t>
            </w:r>
          </w:p>
        </w:tc>
        <w:tc>
          <w:tcPr>
            <w:tcW w:w="5409" w:type="dxa"/>
            <w:vAlign w:val="center"/>
          </w:tcPr>
          <w:p>
            <w:pPr>
              <w:spacing w:line="24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vAlign w:val="center"/>
          </w:tcPr>
          <w:p>
            <w:pPr>
              <w:spacing w:line="2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560" w:type="dxa"/>
            <w:vMerge w:val="restart"/>
            <w:vAlign w:val="center"/>
          </w:tcPr>
          <w:p>
            <w:pPr>
              <w:spacing w:line="2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有效性审查</w:t>
            </w:r>
          </w:p>
        </w:tc>
        <w:tc>
          <w:tcPr>
            <w:tcW w:w="1984" w:type="dxa"/>
            <w:vAlign w:val="center"/>
          </w:tcPr>
          <w:p>
            <w:pPr>
              <w:spacing w:line="240" w:lineRule="exac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响应文件签署</w:t>
            </w:r>
          </w:p>
        </w:tc>
        <w:tc>
          <w:tcPr>
            <w:tcW w:w="5409" w:type="dxa"/>
            <w:vAlign w:val="center"/>
          </w:tcPr>
          <w:p>
            <w:pPr>
              <w:spacing w:line="240" w:lineRule="exac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响应文件上法定代表人或其授权代表人的签字</w:t>
            </w:r>
            <w:r>
              <w:rPr>
                <w:rFonts w:hint="eastAsia" w:ascii="宋体" w:hAnsi="宋体" w:cs="宋体"/>
                <w:color w:val="auto"/>
                <w:sz w:val="24"/>
                <w:szCs w:val="24"/>
                <w:highlight w:val="none"/>
                <w:lang w:eastAsia="zh-CN"/>
              </w:rPr>
              <w:t>、公章盖章处均</w:t>
            </w:r>
            <w:r>
              <w:rPr>
                <w:rFonts w:hint="eastAsia" w:ascii="宋体" w:hAnsi="宋体" w:eastAsia="宋体" w:cs="宋体"/>
                <w:color w:val="auto"/>
                <w:sz w:val="24"/>
                <w:szCs w:val="24"/>
                <w:highlight w:val="none"/>
              </w:rPr>
              <w:t>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675" w:type="dxa"/>
            <w:vMerge w:val="continue"/>
            <w:vAlign w:val="center"/>
          </w:tcPr>
          <w:p>
            <w:pPr>
              <w:spacing w:line="240" w:lineRule="exact"/>
              <w:jc w:val="center"/>
              <w:rPr>
                <w:rFonts w:hint="eastAsia" w:ascii="宋体" w:hAnsi="宋体" w:eastAsia="宋体" w:cs="宋体"/>
                <w:color w:val="auto"/>
                <w:kern w:val="0"/>
                <w:sz w:val="24"/>
                <w:szCs w:val="24"/>
                <w:highlight w:val="none"/>
              </w:rPr>
            </w:pPr>
          </w:p>
        </w:tc>
        <w:tc>
          <w:tcPr>
            <w:tcW w:w="1560" w:type="dxa"/>
            <w:vMerge w:val="continue"/>
            <w:vAlign w:val="center"/>
          </w:tcPr>
          <w:p>
            <w:pPr>
              <w:spacing w:line="240" w:lineRule="exact"/>
              <w:rPr>
                <w:rFonts w:hint="eastAsia" w:ascii="宋体" w:hAnsi="宋体" w:eastAsia="宋体" w:cs="宋体"/>
                <w:color w:val="auto"/>
                <w:kern w:val="0"/>
                <w:sz w:val="24"/>
                <w:szCs w:val="24"/>
                <w:highlight w:val="none"/>
              </w:rPr>
            </w:pPr>
          </w:p>
        </w:tc>
        <w:tc>
          <w:tcPr>
            <w:tcW w:w="1984" w:type="dxa"/>
            <w:vAlign w:val="center"/>
          </w:tcPr>
          <w:p>
            <w:pPr>
              <w:spacing w:line="2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w:t>
            </w:r>
          </w:p>
        </w:tc>
        <w:tc>
          <w:tcPr>
            <w:tcW w:w="5409" w:type="dxa"/>
            <w:vAlign w:val="center"/>
          </w:tcPr>
          <w:p>
            <w:pPr>
              <w:spacing w:line="2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有效，符合采购文件规定的格式且签章齐全。（法定代表人参加竞标活动并签署文件的不需要授权委托书，只需提供法定代表人身份证明；非法定代表人参加竞标活动及签署文件的除提供法定代表人身份证明外还须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pPr>
              <w:spacing w:line="240" w:lineRule="exact"/>
              <w:jc w:val="center"/>
              <w:rPr>
                <w:rFonts w:hint="eastAsia" w:ascii="宋体" w:hAnsi="宋体" w:eastAsia="宋体" w:cs="宋体"/>
                <w:color w:val="auto"/>
                <w:kern w:val="0"/>
                <w:sz w:val="24"/>
                <w:szCs w:val="24"/>
                <w:highlight w:val="none"/>
              </w:rPr>
            </w:pPr>
          </w:p>
        </w:tc>
        <w:tc>
          <w:tcPr>
            <w:tcW w:w="1560" w:type="dxa"/>
            <w:vMerge w:val="continue"/>
            <w:vAlign w:val="center"/>
          </w:tcPr>
          <w:p>
            <w:pPr>
              <w:spacing w:line="240" w:lineRule="exact"/>
              <w:rPr>
                <w:rFonts w:hint="eastAsia" w:ascii="宋体" w:hAnsi="宋体" w:eastAsia="宋体" w:cs="宋体"/>
                <w:color w:val="auto"/>
                <w:kern w:val="0"/>
                <w:sz w:val="24"/>
                <w:szCs w:val="24"/>
                <w:highlight w:val="none"/>
              </w:rPr>
            </w:pPr>
          </w:p>
        </w:tc>
        <w:tc>
          <w:tcPr>
            <w:tcW w:w="1984" w:type="dxa"/>
            <w:vAlign w:val="center"/>
          </w:tcPr>
          <w:p>
            <w:pPr>
              <w:spacing w:line="24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c>
          <w:tcPr>
            <w:tcW w:w="5409" w:type="dxa"/>
            <w:vAlign w:val="center"/>
          </w:tcPr>
          <w:p>
            <w:pPr>
              <w:spacing w:line="240" w:lineRule="exac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每个分包只能有一个</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pPr>
              <w:spacing w:line="240" w:lineRule="exact"/>
              <w:jc w:val="center"/>
              <w:rPr>
                <w:rFonts w:hint="eastAsia" w:ascii="宋体" w:hAnsi="宋体" w:eastAsia="宋体" w:cs="宋体"/>
                <w:color w:val="auto"/>
                <w:kern w:val="0"/>
                <w:sz w:val="24"/>
                <w:szCs w:val="24"/>
                <w:highlight w:val="none"/>
              </w:rPr>
            </w:pPr>
          </w:p>
        </w:tc>
        <w:tc>
          <w:tcPr>
            <w:tcW w:w="1560" w:type="dxa"/>
            <w:vMerge w:val="continue"/>
            <w:vAlign w:val="center"/>
          </w:tcPr>
          <w:p>
            <w:pPr>
              <w:spacing w:line="240" w:lineRule="exact"/>
              <w:rPr>
                <w:rFonts w:hint="eastAsia" w:ascii="宋体" w:hAnsi="宋体" w:eastAsia="宋体" w:cs="宋体"/>
                <w:color w:val="auto"/>
                <w:kern w:val="0"/>
                <w:sz w:val="24"/>
                <w:szCs w:val="24"/>
                <w:highlight w:val="none"/>
              </w:rPr>
            </w:pPr>
          </w:p>
        </w:tc>
        <w:tc>
          <w:tcPr>
            <w:tcW w:w="1984" w:type="dxa"/>
            <w:vAlign w:val="center"/>
          </w:tcPr>
          <w:p>
            <w:pPr>
              <w:spacing w:line="24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报价唯一</w:t>
            </w:r>
          </w:p>
        </w:tc>
        <w:tc>
          <w:tcPr>
            <w:tcW w:w="5409" w:type="dxa"/>
            <w:vAlign w:val="center"/>
          </w:tcPr>
          <w:p>
            <w:pPr>
              <w:spacing w:line="240" w:lineRule="exac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只能在采购预算范围内报价，</w:t>
            </w:r>
            <w:r>
              <w:rPr>
                <w:rFonts w:hint="eastAsia" w:ascii="宋体" w:hAnsi="宋体" w:eastAsia="宋体" w:cs="宋体"/>
                <w:color w:val="auto"/>
                <w:sz w:val="24"/>
                <w:szCs w:val="24"/>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vAlign w:val="center"/>
          </w:tcPr>
          <w:p>
            <w:pPr>
              <w:spacing w:line="2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560" w:type="dxa"/>
            <w:vMerge w:val="restart"/>
            <w:vAlign w:val="center"/>
          </w:tcPr>
          <w:p>
            <w:pPr>
              <w:spacing w:line="2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完整性审查</w:t>
            </w:r>
          </w:p>
        </w:tc>
        <w:tc>
          <w:tcPr>
            <w:tcW w:w="1984" w:type="dxa"/>
            <w:vAlign w:val="center"/>
          </w:tcPr>
          <w:p>
            <w:pPr>
              <w:spacing w:line="240" w:lineRule="exac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文件份数</w:t>
            </w:r>
          </w:p>
        </w:tc>
        <w:tc>
          <w:tcPr>
            <w:tcW w:w="5409" w:type="dxa"/>
            <w:vAlign w:val="center"/>
          </w:tcPr>
          <w:p>
            <w:pPr>
              <w:spacing w:line="240" w:lineRule="exac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符合</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vAlign w:val="center"/>
          </w:tcPr>
          <w:p>
            <w:pPr>
              <w:spacing w:line="240" w:lineRule="exact"/>
              <w:jc w:val="center"/>
              <w:rPr>
                <w:rFonts w:hint="eastAsia" w:ascii="宋体" w:hAnsi="宋体" w:eastAsia="宋体" w:cs="宋体"/>
                <w:color w:val="auto"/>
                <w:kern w:val="0"/>
                <w:sz w:val="24"/>
                <w:szCs w:val="24"/>
                <w:highlight w:val="none"/>
              </w:rPr>
            </w:pPr>
          </w:p>
        </w:tc>
        <w:tc>
          <w:tcPr>
            <w:tcW w:w="1560" w:type="dxa"/>
            <w:vMerge w:val="continue"/>
            <w:vAlign w:val="center"/>
          </w:tcPr>
          <w:p>
            <w:pPr>
              <w:spacing w:line="240" w:lineRule="exact"/>
              <w:rPr>
                <w:rFonts w:hint="eastAsia" w:ascii="宋体" w:hAnsi="宋体" w:eastAsia="宋体" w:cs="宋体"/>
                <w:color w:val="auto"/>
                <w:kern w:val="0"/>
                <w:sz w:val="24"/>
                <w:szCs w:val="24"/>
                <w:highlight w:val="none"/>
              </w:rPr>
            </w:pPr>
          </w:p>
        </w:tc>
        <w:tc>
          <w:tcPr>
            <w:tcW w:w="1984" w:type="dxa"/>
            <w:vAlign w:val="center"/>
          </w:tcPr>
          <w:p>
            <w:pPr>
              <w:spacing w:line="24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文件内容</w:t>
            </w:r>
          </w:p>
        </w:tc>
        <w:tc>
          <w:tcPr>
            <w:tcW w:w="5409" w:type="dxa"/>
            <w:vAlign w:val="center"/>
          </w:tcPr>
          <w:p>
            <w:pPr>
              <w:spacing w:line="24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响应文件格式、内容齐全、无遗漏。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vAlign w:val="center"/>
          </w:tcPr>
          <w:p>
            <w:pPr>
              <w:spacing w:line="2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560" w:type="dxa"/>
            <w:vMerge w:val="restart"/>
            <w:vAlign w:val="center"/>
          </w:tcPr>
          <w:p>
            <w:pPr>
              <w:spacing w:line="24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kern w:val="0"/>
                <w:sz w:val="24"/>
                <w:szCs w:val="24"/>
                <w:highlight w:val="none"/>
              </w:rPr>
              <w:t>响应程度审查</w:t>
            </w:r>
          </w:p>
        </w:tc>
        <w:tc>
          <w:tcPr>
            <w:tcW w:w="1984" w:type="dxa"/>
            <w:vAlign w:val="center"/>
          </w:tcPr>
          <w:p>
            <w:pPr>
              <w:spacing w:line="2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响应文件内容</w:t>
            </w:r>
          </w:p>
        </w:tc>
        <w:tc>
          <w:tcPr>
            <w:tcW w:w="5409" w:type="dxa"/>
            <w:vAlign w:val="center"/>
          </w:tcPr>
          <w:p>
            <w:pPr>
              <w:pStyle w:val="11"/>
              <w:spacing w:line="2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对采购文件规定的</w:t>
            </w:r>
            <w:r>
              <w:rPr>
                <w:rFonts w:hint="eastAsia" w:ascii="宋体" w:hAnsi="宋体" w:cs="宋体"/>
                <w:color w:val="auto"/>
                <w:kern w:val="0"/>
                <w:sz w:val="24"/>
                <w:szCs w:val="24"/>
                <w:highlight w:val="none"/>
                <w:lang w:eastAsia="zh-CN"/>
              </w:rPr>
              <w:t>项目要求，包括</w:t>
            </w:r>
            <w:r>
              <w:rPr>
                <w:rFonts w:hint="eastAsia" w:ascii="宋体" w:hAnsi="宋体" w:eastAsia="宋体" w:cs="宋体"/>
                <w:color w:val="auto"/>
                <w:kern w:val="0"/>
                <w:sz w:val="24"/>
                <w:szCs w:val="24"/>
                <w:highlight w:val="none"/>
              </w:rPr>
              <w:t>技术、服务</w:t>
            </w:r>
            <w:r>
              <w:rPr>
                <w:rFonts w:hint="eastAsia" w:ascii="宋体" w:hAnsi="宋体" w:cs="宋体"/>
                <w:color w:val="auto"/>
                <w:kern w:val="0"/>
                <w:sz w:val="24"/>
                <w:szCs w:val="24"/>
                <w:highlight w:val="none"/>
                <w:lang w:eastAsia="zh-CN"/>
              </w:rPr>
              <w:t>等</w:t>
            </w:r>
            <w:r>
              <w:rPr>
                <w:rFonts w:hint="eastAsia" w:ascii="宋体" w:hAnsi="宋体" w:eastAsia="宋体" w:cs="宋体"/>
                <w:color w:val="auto"/>
                <w:kern w:val="0"/>
                <w:sz w:val="24"/>
                <w:szCs w:val="24"/>
                <w:highlight w:val="none"/>
              </w:rPr>
              <w:t>内容全部作出响应。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75" w:type="dxa"/>
            <w:vMerge w:val="continue"/>
            <w:vAlign w:val="center"/>
          </w:tcPr>
          <w:p>
            <w:pPr>
              <w:spacing w:line="240" w:lineRule="exact"/>
              <w:jc w:val="center"/>
              <w:rPr>
                <w:rFonts w:hint="eastAsia" w:ascii="宋体" w:hAnsi="宋体" w:eastAsia="宋体" w:cs="宋体"/>
                <w:color w:val="auto"/>
                <w:kern w:val="0"/>
                <w:sz w:val="24"/>
                <w:szCs w:val="24"/>
                <w:highlight w:val="none"/>
              </w:rPr>
            </w:pPr>
          </w:p>
        </w:tc>
        <w:tc>
          <w:tcPr>
            <w:tcW w:w="1560" w:type="dxa"/>
            <w:vMerge w:val="continue"/>
            <w:vAlign w:val="center"/>
          </w:tcPr>
          <w:p>
            <w:pPr>
              <w:spacing w:line="240" w:lineRule="exact"/>
              <w:rPr>
                <w:rFonts w:hint="eastAsia" w:ascii="宋体" w:hAnsi="宋体" w:eastAsia="宋体" w:cs="宋体"/>
                <w:color w:val="auto"/>
                <w:sz w:val="24"/>
                <w:szCs w:val="24"/>
                <w:highlight w:val="none"/>
                <w:lang w:val="zh-CN"/>
              </w:rPr>
            </w:pPr>
          </w:p>
        </w:tc>
        <w:tc>
          <w:tcPr>
            <w:tcW w:w="1984" w:type="dxa"/>
            <w:vAlign w:val="center"/>
          </w:tcPr>
          <w:p>
            <w:pPr>
              <w:spacing w:line="2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谈判有效期</w:t>
            </w:r>
          </w:p>
        </w:tc>
        <w:tc>
          <w:tcPr>
            <w:tcW w:w="5409" w:type="dxa"/>
            <w:vAlign w:val="center"/>
          </w:tcPr>
          <w:p>
            <w:pPr>
              <w:spacing w:line="2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满足</w:t>
            </w:r>
            <w:r>
              <w:rPr>
                <w:rFonts w:hint="eastAsia" w:ascii="宋体" w:hAnsi="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sz w:val="24"/>
                <w:szCs w:val="24"/>
                <w:highlight w:val="none"/>
                <w:lang w:val="zh-CN"/>
              </w:rPr>
              <w:t>规定。</w:t>
            </w:r>
          </w:p>
        </w:tc>
      </w:tr>
    </w:tbl>
    <w:p>
      <w:pPr>
        <w:adjustRightInd w:val="0"/>
        <w:snapToGrid w:val="0"/>
        <w:spacing w:line="360" w:lineRule="auto"/>
        <w:rPr>
          <w:rFonts w:hint="eastAsia" w:ascii="宋体" w:hAnsi="宋体" w:eastAsia="宋体" w:cs="宋体"/>
          <w:b/>
          <w:color w:val="auto"/>
          <w:sz w:val="24"/>
          <w:szCs w:val="24"/>
          <w:highlight w:val="none"/>
        </w:rPr>
      </w:pP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（四）评审小组要求供应商澄清、说明或者更正响应文件应当以书面形式作出。供应商的澄清、说明或者更正应当由法定代表人或其授权代表签字或者加盖公章。由授权代表签字的，应当附法定代表人授权书。</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（五）在</w:t>
      </w: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过程中</w:t>
      </w:r>
      <w:r>
        <w:rPr>
          <w:rFonts w:hint="eastAsia" w:asciiTheme="minorEastAsia" w:hAnsiTheme="minorEastAsia" w:eastAsiaTheme="minorEastAsia" w:cstheme="minorEastAsia"/>
          <w:color w:val="auto"/>
          <w:sz w:val="24"/>
          <w:szCs w:val="24"/>
          <w:highlight w:val="none"/>
          <w:lang w:eastAsia="zh-CN"/>
        </w:rPr>
        <w:t>参与</w:t>
      </w:r>
      <w:r>
        <w:rPr>
          <w:rFonts w:hint="eastAsia" w:asciiTheme="minorEastAsia" w:hAnsiTheme="minorEastAsia" w:eastAsiaTheme="minorEastAsia" w:cstheme="minorEastAsia"/>
          <w:color w:val="auto"/>
          <w:sz w:val="24"/>
          <w:szCs w:val="24"/>
          <w:highlight w:val="none"/>
        </w:rPr>
        <w:t>的任何一方不得向他人透露与磋商有关的</w:t>
      </w:r>
      <w:r>
        <w:rPr>
          <w:rFonts w:hint="eastAsia" w:asciiTheme="minorEastAsia" w:hAnsiTheme="minorEastAsia" w:eastAsiaTheme="minorEastAsia" w:cstheme="minorEastAsia"/>
          <w:color w:val="auto"/>
          <w:sz w:val="24"/>
          <w:szCs w:val="24"/>
          <w:highlight w:val="none"/>
          <w:lang w:eastAsia="zh-CN"/>
        </w:rPr>
        <w:t>服务</w:t>
      </w:r>
      <w:r>
        <w:rPr>
          <w:rFonts w:hint="eastAsia" w:asciiTheme="minorEastAsia" w:hAnsiTheme="minorEastAsia" w:eastAsiaTheme="minorEastAsia" w:cstheme="minorEastAsia"/>
          <w:color w:val="auto"/>
          <w:sz w:val="24"/>
          <w:szCs w:val="24"/>
          <w:highlight w:val="none"/>
        </w:rPr>
        <w:t>资料、价格或其他信息。</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（六）在</w:t>
      </w: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过程中，评审小组可以根据采购文件和谈判磋商情况实质性变动采购需求中的技术、服务要求，但不得变动采购文件中的其他内容。实质性变动的内容，须经采购人需求科室代表确认。对采购文件作出的实质性变动是采购文件的有效组成部分，评审小组应当及时通知所有参与供应商。</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（七）供应商在采购时作出的所有书面承诺须由法定代表人或其授权代表签字。</w:t>
      </w:r>
    </w:p>
    <w:p>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（八）供应商应当按照采购文件的变动情况和评审小组的要求做出相关的书面承诺。</w:t>
      </w:r>
    </w:p>
    <w:p>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（九）评审</w:t>
      </w:r>
      <w:r>
        <w:rPr>
          <w:rFonts w:hint="eastAsia" w:asciiTheme="minorEastAsia" w:hAnsiTheme="minorEastAsia" w:eastAsiaTheme="minorEastAsia" w:cstheme="minorEastAsia"/>
          <w:color w:val="auto"/>
          <w:sz w:val="24"/>
          <w:szCs w:val="24"/>
          <w:highlight w:val="none"/>
        </w:rPr>
        <w:t>小组采用综合评分法对供应商的响应文件（含有效书面承诺）</w:t>
      </w:r>
      <w:r>
        <w:rPr>
          <w:rFonts w:hint="eastAsia" w:asciiTheme="minorEastAsia" w:hAnsiTheme="minorEastAsia" w:eastAsiaTheme="minorEastAsia" w:cstheme="minorEastAsia"/>
          <w:color w:val="auto"/>
          <w:sz w:val="24"/>
          <w:szCs w:val="24"/>
          <w:highlight w:val="none"/>
          <w:lang w:eastAsia="zh-CN"/>
        </w:rPr>
        <w:t>及现场演示</w:t>
      </w:r>
      <w:r>
        <w:rPr>
          <w:rFonts w:hint="eastAsia" w:asciiTheme="minorEastAsia" w:hAnsiTheme="minorEastAsia" w:eastAsiaTheme="minorEastAsia" w:cstheme="minorEastAsia"/>
          <w:color w:val="auto"/>
          <w:sz w:val="24"/>
          <w:szCs w:val="24"/>
          <w:highlight w:val="none"/>
        </w:rPr>
        <w:t>进行综合评分。综合评分法，是指响应文件满足竞争性磋商文件全部实质性要求且按照评审因素的量化指标评审得分最高的供应商为成交候选供应商的评审方法。供应商总得分为价格、</w:t>
      </w:r>
      <w:r>
        <w:rPr>
          <w:rFonts w:hint="eastAsia" w:asciiTheme="minorEastAsia" w:hAnsiTheme="minorEastAsia" w:eastAsiaTheme="minorEastAsia" w:cstheme="minorEastAsia"/>
          <w:color w:val="auto"/>
          <w:sz w:val="24"/>
          <w:szCs w:val="24"/>
          <w:highlight w:val="none"/>
          <w:lang w:eastAsia="zh-CN"/>
        </w:rPr>
        <w:t>技术、</w:t>
      </w:r>
      <w:r>
        <w:rPr>
          <w:rFonts w:hint="eastAsia" w:asciiTheme="minorEastAsia" w:hAnsiTheme="minorEastAsia" w:eastAsiaTheme="minorEastAsia" w:cstheme="minorEastAsia"/>
          <w:color w:val="auto"/>
          <w:sz w:val="24"/>
          <w:szCs w:val="24"/>
          <w:highlight w:val="none"/>
        </w:rPr>
        <w:t>商务等评定因素分别按照相应权重值计算分项得分后相加，满分为100分。</w:t>
      </w:r>
      <w:r>
        <w:rPr>
          <w:rFonts w:hint="eastAsia" w:asciiTheme="minorEastAsia" w:hAnsiTheme="minorEastAsia" w:eastAsiaTheme="minorEastAsia" w:cstheme="minorEastAsia"/>
          <w:color w:val="auto"/>
          <w:sz w:val="24"/>
          <w:szCs w:val="24"/>
          <w:highlight w:val="none"/>
          <w:lang w:val="en-US" w:eastAsia="zh-CN"/>
        </w:rPr>
        <w:t>按照评审得分由高到低顺序推荐3 名成交候选供应商。</w:t>
      </w:r>
      <w:r>
        <w:rPr>
          <w:rFonts w:hint="eastAsia" w:asciiTheme="minorEastAsia" w:hAnsiTheme="minorEastAsia" w:eastAsiaTheme="minorEastAsia" w:cstheme="minorEastAsia"/>
          <w:color w:val="auto"/>
          <w:sz w:val="24"/>
          <w:szCs w:val="24"/>
          <w:highlight w:val="none"/>
          <w:lang w:eastAsia="zh-CN"/>
        </w:rPr>
        <w:t>若第一中标候选人放弃中标，采购人有权选择排名第二的单位。</w:t>
      </w:r>
    </w:p>
    <w:p>
      <w:pPr>
        <w:spacing w:line="400" w:lineRule="exact"/>
        <w:ind w:firstLine="480" w:firstLineChars="200"/>
        <w:rPr>
          <w:rFonts w:hint="eastAsia" w:asciiTheme="minorEastAsia" w:hAnsiTheme="minorEastAsia" w:eastAsiaTheme="minorEastAsia" w:cstheme="minorEastAsia"/>
          <w:strike w:val="0"/>
          <w:dstrike w:val="0"/>
          <w:color w:val="auto"/>
          <w:sz w:val="24"/>
          <w:szCs w:val="24"/>
          <w:highlight w:val="none"/>
        </w:rPr>
      </w:pPr>
      <w:r>
        <w:rPr>
          <w:rFonts w:hint="eastAsia" w:asciiTheme="minorEastAsia" w:hAnsiTheme="minorEastAsia" w:eastAsiaTheme="minorEastAsia" w:cstheme="minorEastAsia"/>
          <w:color w:val="auto"/>
          <w:sz w:val="24"/>
          <w:szCs w:val="24"/>
          <w:highlight w:val="none"/>
        </w:rPr>
        <w:t>（十）</w:t>
      </w:r>
      <w:r>
        <w:rPr>
          <w:rFonts w:hint="eastAsia" w:asciiTheme="minorEastAsia" w:hAnsiTheme="minorEastAsia" w:eastAsiaTheme="minorEastAsia" w:cstheme="minorEastAsia"/>
          <w:color w:val="auto"/>
          <w:sz w:val="24"/>
          <w:szCs w:val="24"/>
          <w:highlight w:val="none"/>
          <w:lang w:eastAsia="zh-CN"/>
        </w:rPr>
        <w:t>评审</w:t>
      </w:r>
      <w:r>
        <w:rPr>
          <w:rFonts w:hint="eastAsia" w:asciiTheme="minorEastAsia" w:hAnsiTheme="minorEastAsia" w:eastAsiaTheme="minorEastAsia" w:cstheme="minorEastAsia"/>
          <w:color w:val="auto"/>
          <w:sz w:val="24"/>
          <w:szCs w:val="24"/>
          <w:highlight w:val="none"/>
        </w:rPr>
        <w:t>小组各成员独立对每个实质性响应文件进行评价、打分，然后汇总每个供应商每项评分因素的得分，并根据综合评分情况按照评审得分由高到低顺序推荐3名以上成交候选供应商，并编写评审</w:t>
      </w:r>
      <w:r>
        <w:rPr>
          <w:rFonts w:hint="eastAsia" w:asciiTheme="minorEastAsia" w:hAnsiTheme="minorEastAsia" w:eastAsiaTheme="minorEastAsia" w:cstheme="minorEastAsia"/>
          <w:color w:val="auto"/>
          <w:sz w:val="24"/>
          <w:szCs w:val="24"/>
          <w:highlight w:val="none"/>
          <w:lang w:eastAsia="zh-CN"/>
        </w:rPr>
        <w:t>纪要</w:t>
      </w:r>
      <w:r>
        <w:rPr>
          <w:rFonts w:hint="eastAsia" w:asciiTheme="minorEastAsia" w:hAnsiTheme="minorEastAsia" w:eastAsiaTheme="minorEastAsia" w:cstheme="minorEastAsia"/>
          <w:color w:val="auto"/>
          <w:sz w:val="24"/>
          <w:szCs w:val="24"/>
          <w:highlight w:val="none"/>
        </w:rPr>
        <w:t>。若供应商的评审得分相同的，按照报价由低到高的顺序排列推荐。评审得分且报价相同的，按照</w:t>
      </w:r>
      <w:r>
        <w:rPr>
          <w:rFonts w:hint="eastAsia" w:asciiTheme="minorEastAsia" w:hAnsiTheme="minorEastAsia" w:eastAsiaTheme="minorEastAsia" w:cstheme="minorEastAsia"/>
          <w:color w:val="auto"/>
          <w:sz w:val="24"/>
          <w:szCs w:val="24"/>
          <w:highlight w:val="none"/>
          <w:lang w:eastAsia="zh-CN"/>
        </w:rPr>
        <w:t>技术</w:t>
      </w:r>
      <w:r>
        <w:rPr>
          <w:rFonts w:hint="eastAsia" w:asciiTheme="minorEastAsia" w:hAnsiTheme="minorEastAsia" w:eastAsiaTheme="minorEastAsia" w:cstheme="minorEastAsia"/>
          <w:color w:val="auto"/>
          <w:sz w:val="24"/>
          <w:szCs w:val="24"/>
          <w:highlight w:val="none"/>
        </w:rPr>
        <w:t>部分的得分由高到低的顺序排列推荐。</w:t>
      </w:r>
      <w:r>
        <w:rPr>
          <w:rFonts w:hint="eastAsia" w:asciiTheme="minorEastAsia" w:hAnsiTheme="minorEastAsia" w:eastAsiaTheme="minorEastAsia" w:cstheme="minorEastAsia"/>
          <w:strike w:val="0"/>
          <w:dstrike w:val="0"/>
          <w:color w:val="auto"/>
          <w:sz w:val="24"/>
          <w:szCs w:val="24"/>
          <w:highlight w:val="none"/>
        </w:rPr>
        <w:t>若所推荐的供应商的</w:t>
      </w:r>
      <w:r>
        <w:rPr>
          <w:rFonts w:hint="eastAsia" w:asciiTheme="minorEastAsia" w:hAnsiTheme="minorEastAsia" w:eastAsiaTheme="minorEastAsia" w:cstheme="minorEastAsia"/>
          <w:strike w:val="0"/>
          <w:dstrike w:val="0"/>
          <w:color w:val="auto"/>
          <w:sz w:val="24"/>
          <w:szCs w:val="24"/>
          <w:highlight w:val="none"/>
          <w:lang w:eastAsia="zh-CN"/>
        </w:rPr>
        <w:t>技术</w:t>
      </w:r>
      <w:r>
        <w:rPr>
          <w:rFonts w:hint="eastAsia" w:asciiTheme="minorEastAsia" w:hAnsiTheme="minorEastAsia" w:eastAsiaTheme="minorEastAsia" w:cstheme="minorEastAsia"/>
          <w:strike w:val="0"/>
          <w:dstrike w:val="0"/>
          <w:color w:val="auto"/>
          <w:sz w:val="24"/>
          <w:szCs w:val="24"/>
          <w:highlight w:val="none"/>
        </w:rPr>
        <w:t>部分为0分，将失去成为成交候选供应商的资格。</w:t>
      </w:r>
    </w:p>
    <w:p>
      <w:pPr>
        <w:spacing w:line="276"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十一</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成交通知书送达后原则上30日内签订合同，成交供应商逾期未签订合同的，视为成交供应商拒绝签订合同，成交供应商承担相应违约责任。</w:t>
      </w:r>
    </w:p>
    <w:p>
      <w:pPr>
        <w:pStyle w:val="4"/>
        <w:jc w:val="left"/>
        <w:rPr>
          <w:rFonts w:hint="eastAsia"/>
          <w:color w:val="auto"/>
          <w:highlight w:val="none"/>
        </w:rPr>
      </w:pPr>
    </w:p>
    <w:p>
      <w:pPr>
        <w:numPr>
          <w:ilvl w:val="0"/>
          <w:numId w:val="1"/>
        </w:numPr>
        <w:adjustRightInd w:val="0"/>
        <w:snapToGrid w:val="0"/>
        <w:spacing w:line="360" w:lineRule="auto"/>
        <w:ind w:firstLine="472" w:firstLineChars="196"/>
        <w:rPr>
          <w:rFonts w:hint="eastAsia" w:ascii="宋体" w:hAnsi="宋体" w:cs="宋体"/>
          <w:b/>
          <w:color w:val="auto"/>
          <w:sz w:val="24"/>
          <w:szCs w:val="24"/>
          <w:highlight w:val="none"/>
          <w:lang w:eastAsia="zh-CN"/>
        </w:rPr>
      </w:pPr>
      <w:r>
        <w:rPr>
          <w:rFonts w:hint="eastAsia" w:ascii="宋体" w:hAnsi="宋体" w:cs="宋体"/>
          <w:b/>
          <w:color w:val="auto"/>
          <w:sz w:val="24"/>
          <w:szCs w:val="24"/>
          <w:highlight w:val="none"/>
          <w:lang w:eastAsia="zh-CN"/>
        </w:rPr>
        <w:t>评审标准</w:t>
      </w:r>
    </w:p>
    <w:tbl>
      <w:tblPr>
        <w:tblStyle w:val="19"/>
        <w:tblW w:w="9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100"/>
        <w:gridCol w:w="1000"/>
        <w:gridCol w:w="5376"/>
        <w:gridCol w:w="1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Borders>
              <w:top w:val="single" w:color="auto" w:sz="4" w:space="0"/>
              <w:left w:val="single" w:color="auto" w:sz="4" w:space="0"/>
              <w:bottom w:val="single" w:color="auto" w:sz="4" w:space="0"/>
              <w:right w:val="single" w:color="auto" w:sz="4" w:space="0"/>
            </w:tcBorders>
            <w:noWrap w:val="0"/>
            <w:vAlign w:val="center"/>
          </w:tcPr>
          <w:p>
            <w:pPr>
              <w:ind w:firstLine="28"/>
              <w:jc w:val="center"/>
              <w:rPr>
                <w:rFonts w:hint="eastAsia" w:ascii="宋体" w:hAnsi="宋体" w:eastAsia="宋体" w:cs="宋体"/>
                <w:b/>
                <w:color w:val="000000"/>
                <w:sz w:val="20"/>
                <w:szCs w:val="20"/>
              </w:rPr>
            </w:pPr>
            <w:r>
              <w:rPr>
                <w:rFonts w:hint="eastAsia" w:ascii="宋体" w:hAnsi="宋体" w:eastAsia="宋体" w:cs="宋体"/>
                <w:b/>
                <w:color w:val="000000"/>
                <w:sz w:val="20"/>
                <w:szCs w:val="20"/>
              </w:rPr>
              <w:t>序号</w:t>
            </w:r>
          </w:p>
        </w:tc>
        <w:tc>
          <w:tcPr>
            <w:tcW w:w="1100" w:type="dxa"/>
            <w:tcBorders>
              <w:top w:val="single" w:color="auto" w:sz="4" w:space="0"/>
              <w:left w:val="single" w:color="auto" w:sz="4" w:space="0"/>
              <w:bottom w:val="single" w:color="auto" w:sz="4" w:space="0"/>
              <w:right w:val="single" w:color="auto" w:sz="4" w:space="0"/>
            </w:tcBorders>
            <w:noWrap w:val="0"/>
            <w:vAlign w:val="center"/>
          </w:tcPr>
          <w:p>
            <w:pPr>
              <w:ind w:firstLine="28"/>
              <w:jc w:val="center"/>
              <w:rPr>
                <w:rFonts w:hint="eastAsia" w:ascii="宋体" w:hAnsi="宋体" w:eastAsia="宋体" w:cs="宋体"/>
                <w:b/>
                <w:color w:val="000000"/>
                <w:sz w:val="20"/>
                <w:szCs w:val="20"/>
              </w:rPr>
            </w:pPr>
            <w:r>
              <w:rPr>
                <w:rFonts w:hint="eastAsia" w:ascii="宋体" w:hAnsi="宋体" w:eastAsia="宋体" w:cs="宋体"/>
                <w:b/>
                <w:color w:val="000000"/>
                <w:sz w:val="20"/>
                <w:szCs w:val="20"/>
              </w:rPr>
              <w:t>评分因素及权值</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ind w:firstLine="28"/>
              <w:jc w:val="center"/>
              <w:rPr>
                <w:rFonts w:hint="eastAsia" w:ascii="宋体" w:hAnsi="宋体" w:eastAsia="宋体" w:cs="宋体"/>
                <w:b/>
                <w:color w:val="000000"/>
                <w:sz w:val="20"/>
                <w:szCs w:val="20"/>
              </w:rPr>
            </w:pPr>
            <w:r>
              <w:rPr>
                <w:rFonts w:hint="eastAsia" w:ascii="宋体" w:hAnsi="宋体" w:eastAsia="宋体" w:cs="宋体"/>
                <w:b/>
                <w:color w:val="000000"/>
                <w:sz w:val="20"/>
                <w:szCs w:val="20"/>
              </w:rPr>
              <w:t>分值</w:t>
            </w:r>
          </w:p>
        </w:tc>
        <w:tc>
          <w:tcPr>
            <w:tcW w:w="5376" w:type="dxa"/>
            <w:tcBorders>
              <w:top w:val="single" w:color="auto" w:sz="4" w:space="0"/>
              <w:left w:val="single" w:color="auto" w:sz="4" w:space="0"/>
              <w:bottom w:val="single" w:color="auto" w:sz="4" w:space="0"/>
              <w:right w:val="single" w:color="auto" w:sz="4" w:space="0"/>
            </w:tcBorders>
            <w:noWrap w:val="0"/>
            <w:vAlign w:val="center"/>
          </w:tcPr>
          <w:p>
            <w:pPr>
              <w:ind w:firstLine="28"/>
              <w:jc w:val="center"/>
              <w:rPr>
                <w:rFonts w:hint="eastAsia" w:ascii="宋体" w:hAnsi="宋体" w:eastAsia="宋体" w:cs="宋体"/>
                <w:b/>
                <w:color w:val="000000"/>
                <w:sz w:val="20"/>
                <w:szCs w:val="20"/>
              </w:rPr>
            </w:pPr>
            <w:r>
              <w:rPr>
                <w:rFonts w:hint="eastAsia" w:ascii="宋体" w:hAnsi="宋体" w:eastAsia="宋体" w:cs="宋体"/>
                <w:b/>
                <w:color w:val="000000"/>
                <w:sz w:val="20"/>
                <w:szCs w:val="20"/>
              </w:rPr>
              <w:t>评分标准</w:t>
            </w:r>
          </w:p>
        </w:tc>
        <w:tc>
          <w:tcPr>
            <w:tcW w:w="1816" w:type="dxa"/>
            <w:tcBorders>
              <w:top w:val="single" w:color="auto" w:sz="4" w:space="0"/>
              <w:left w:val="single" w:color="auto" w:sz="4" w:space="0"/>
              <w:bottom w:val="single" w:color="auto" w:sz="4" w:space="0"/>
              <w:right w:val="single" w:color="auto" w:sz="4" w:space="0"/>
            </w:tcBorders>
            <w:noWrap w:val="0"/>
            <w:vAlign w:val="center"/>
          </w:tcPr>
          <w:p>
            <w:pPr>
              <w:pStyle w:val="37"/>
              <w:rPr>
                <w:rFonts w:hint="eastAsia" w:ascii="宋体" w:hAnsi="宋体" w:eastAsia="宋体" w:cs="宋体"/>
                <w:color w:val="000000"/>
                <w:sz w:val="20"/>
                <w:szCs w:val="20"/>
              </w:rPr>
            </w:pPr>
            <w:r>
              <w:rPr>
                <w:rFonts w:hint="eastAsia" w:ascii="宋体" w:hAnsi="宋体" w:eastAsia="宋体" w:cs="宋体"/>
                <w:color w:val="000000"/>
                <w:sz w:val="20"/>
                <w:szCs w:val="2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Borders>
              <w:top w:val="single" w:color="auto" w:sz="4" w:space="0"/>
              <w:left w:val="single" w:color="auto" w:sz="4" w:space="0"/>
              <w:bottom w:val="single" w:color="auto" w:sz="4" w:space="0"/>
              <w:right w:val="single" w:color="auto" w:sz="4" w:space="0"/>
            </w:tcBorders>
            <w:noWrap w:val="0"/>
            <w:vAlign w:val="center"/>
          </w:tcPr>
          <w:p>
            <w:pPr>
              <w:ind w:firstLine="28"/>
              <w:jc w:val="center"/>
              <w:rPr>
                <w:rFonts w:hint="eastAsia" w:ascii="宋体" w:hAnsi="宋体" w:eastAsia="宋体" w:cs="宋体"/>
                <w:color w:val="000000"/>
                <w:sz w:val="20"/>
                <w:szCs w:val="20"/>
              </w:rPr>
            </w:pPr>
            <w:r>
              <w:rPr>
                <w:rFonts w:hint="eastAsia" w:ascii="宋体" w:hAnsi="宋体" w:eastAsia="宋体" w:cs="宋体"/>
                <w:color w:val="000000"/>
                <w:sz w:val="20"/>
                <w:szCs w:val="20"/>
              </w:rPr>
              <w:t>1</w:t>
            </w:r>
          </w:p>
        </w:tc>
        <w:tc>
          <w:tcPr>
            <w:tcW w:w="1100" w:type="dxa"/>
            <w:tcBorders>
              <w:top w:val="single" w:color="auto" w:sz="4" w:space="0"/>
              <w:left w:val="single" w:color="auto" w:sz="4" w:space="0"/>
              <w:bottom w:val="single" w:color="auto" w:sz="4" w:space="0"/>
              <w:right w:val="single" w:color="auto" w:sz="4" w:space="0"/>
            </w:tcBorders>
            <w:noWrap w:val="0"/>
            <w:vAlign w:val="center"/>
          </w:tcPr>
          <w:p>
            <w:pPr>
              <w:ind w:firstLine="28"/>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rPr>
              <w:t>报价</w:t>
            </w:r>
            <w:r>
              <w:rPr>
                <w:rFonts w:hint="eastAsia" w:ascii="宋体" w:hAnsi="宋体" w:eastAsia="宋体" w:cs="宋体"/>
                <w:color w:val="000000"/>
                <w:sz w:val="20"/>
                <w:szCs w:val="20"/>
                <w:lang w:val="en-US" w:eastAsia="zh-CN"/>
              </w:rPr>
              <w:t>部分</w:t>
            </w:r>
          </w:p>
          <w:p>
            <w:pPr>
              <w:ind w:firstLine="28"/>
              <w:jc w:val="center"/>
              <w:rPr>
                <w:rFonts w:hint="eastAsia" w:ascii="宋体" w:hAnsi="宋体" w:eastAsia="宋体" w:cs="宋体"/>
                <w:color w:val="000000"/>
                <w:sz w:val="20"/>
                <w:szCs w:val="20"/>
              </w:rPr>
            </w:pPr>
            <w:r>
              <w:rPr>
                <w:rFonts w:hint="eastAsia" w:ascii="宋体" w:hAnsi="宋体" w:eastAsia="宋体" w:cs="宋体"/>
                <w:color w:val="000000"/>
                <w:sz w:val="20"/>
                <w:szCs w:val="20"/>
              </w:rPr>
              <w:t>（</w:t>
            </w:r>
            <w:r>
              <w:rPr>
                <w:rFonts w:hint="eastAsia" w:ascii="宋体" w:hAnsi="宋体" w:eastAsia="宋体" w:cs="宋体"/>
                <w:color w:val="000000"/>
                <w:sz w:val="20"/>
                <w:szCs w:val="20"/>
                <w:lang w:val="en-US" w:eastAsia="zh-CN"/>
              </w:rPr>
              <w:t>15</w:t>
            </w:r>
            <w:r>
              <w:rPr>
                <w:rFonts w:hint="eastAsia" w:ascii="宋体" w:hAnsi="宋体" w:eastAsia="宋体" w:cs="宋体"/>
                <w:color w:val="000000"/>
                <w:sz w:val="20"/>
                <w:szCs w:val="20"/>
              </w:rPr>
              <w:t>%）</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ind w:firstLine="28"/>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价格分15分</w:t>
            </w:r>
          </w:p>
        </w:tc>
        <w:tc>
          <w:tcPr>
            <w:tcW w:w="53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满足资格性、符合性要求且最后报价最低的供应商的价格为磋商基准价，其价格分为满分。其他供应商的价格分统一按照下列公式计算：</w:t>
            </w:r>
          </w:p>
          <w:p>
            <w:pPr>
              <w:rPr>
                <w:rFonts w:hint="eastAsia" w:ascii="宋体" w:hAnsi="宋体" w:eastAsia="宋体" w:cs="宋体"/>
                <w:color w:val="000000"/>
                <w:sz w:val="20"/>
                <w:szCs w:val="20"/>
              </w:rPr>
            </w:pPr>
            <w:r>
              <w:rPr>
                <w:rFonts w:hint="eastAsia" w:ascii="宋体" w:hAnsi="宋体" w:eastAsia="宋体" w:cs="宋体"/>
                <w:color w:val="000000"/>
                <w:sz w:val="20"/>
                <w:szCs w:val="20"/>
              </w:rPr>
              <w:t>磋商报价得分=（磋商基准价/最后磋商报价）×价格权值×100，（按四舍五入法保留两位小数）</w:t>
            </w:r>
          </w:p>
          <w:p>
            <w:pPr>
              <w:rPr>
                <w:rFonts w:hint="eastAsia" w:ascii="宋体" w:hAnsi="宋体" w:eastAsia="宋体" w:cs="宋体"/>
                <w:color w:val="000000"/>
                <w:sz w:val="20"/>
                <w:szCs w:val="20"/>
              </w:rPr>
            </w:pPr>
            <w:r>
              <w:rPr>
                <w:rFonts w:hint="eastAsia" w:ascii="宋体" w:hAnsi="宋体" w:eastAsia="宋体" w:cs="宋体"/>
                <w:color w:val="000000"/>
                <w:sz w:val="20"/>
                <w:szCs w:val="20"/>
              </w:rPr>
              <w:t>项目评审过程中，不得去掉最后报价中的最高报价和最低报价。</w:t>
            </w:r>
          </w:p>
        </w:tc>
        <w:tc>
          <w:tcPr>
            <w:tcW w:w="1816" w:type="dxa"/>
            <w:tcBorders>
              <w:top w:val="single" w:color="auto" w:sz="4" w:space="0"/>
              <w:left w:val="single" w:color="auto" w:sz="4" w:space="0"/>
              <w:bottom w:val="single" w:color="auto" w:sz="4" w:space="0"/>
              <w:right w:val="single" w:color="auto" w:sz="4" w:space="0"/>
            </w:tcBorders>
            <w:noWrap w:val="0"/>
            <w:vAlign w:val="center"/>
          </w:tcPr>
          <w:p>
            <w:pPr>
              <w:ind w:left="-38"/>
              <w:rPr>
                <w:rFonts w:hint="eastAsia"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655" w:type="dxa"/>
            <w:vMerge w:val="restart"/>
            <w:tcBorders>
              <w:top w:val="nil"/>
              <w:left w:val="single" w:color="auto" w:sz="4" w:space="0"/>
              <w:right w:val="single" w:color="auto" w:sz="4" w:space="0"/>
            </w:tcBorders>
            <w:noWrap w:val="0"/>
            <w:vAlign w:val="center"/>
          </w:tcPr>
          <w:p>
            <w:pPr>
              <w:ind w:firstLine="28"/>
              <w:jc w:val="center"/>
              <w:rPr>
                <w:rFonts w:hint="eastAsia" w:ascii="宋体" w:hAnsi="宋体" w:eastAsia="宋体" w:cs="宋体"/>
                <w:color w:val="000000"/>
                <w:sz w:val="20"/>
                <w:szCs w:val="20"/>
              </w:rPr>
            </w:pPr>
            <w:r>
              <w:rPr>
                <w:rFonts w:hint="eastAsia" w:ascii="宋体" w:hAnsi="宋体" w:eastAsia="宋体" w:cs="宋体"/>
                <w:color w:val="000000"/>
                <w:sz w:val="20"/>
                <w:szCs w:val="20"/>
              </w:rPr>
              <w:t>2</w:t>
            </w:r>
          </w:p>
        </w:tc>
        <w:tc>
          <w:tcPr>
            <w:tcW w:w="1100" w:type="dxa"/>
            <w:vMerge w:val="restart"/>
            <w:tcBorders>
              <w:top w:val="nil"/>
              <w:left w:val="single" w:color="auto" w:sz="4" w:space="0"/>
              <w:bottom w:val="single" w:color="auto" w:sz="4" w:space="0"/>
              <w:right w:val="single" w:color="auto" w:sz="4" w:space="0"/>
            </w:tcBorders>
            <w:noWrap w:val="0"/>
            <w:vAlign w:val="center"/>
          </w:tcPr>
          <w:p>
            <w:pPr>
              <w:ind w:firstLine="28"/>
              <w:jc w:val="center"/>
              <w:rPr>
                <w:rFonts w:hint="eastAsia" w:ascii="宋体" w:hAnsi="宋体" w:eastAsia="宋体" w:cs="宋体"/>
                <w:color w:val="000000"/>
                <w:sz w:val="20"/>
                <w:szCs w:val="20"/>
              </w:rPr>
            </w:pPr>
            <w:r>
              <w:rPr>
                <w:rFonts w:hint="eastAsia" w:ascii="宋体" w:hAnsi="宋体" w:eastAsia="宋体" w:cs="宋体"/>
                <w:color w:val="000000"/>
                <w:sz w:val="20"/>
                <w:szCs w:val="20"/>
              </w:rPr>
              <w:t>技术部分</w:t>
            </w:r>
          </w:p>
          <w:p>
            <w:pPr>
              <w:ind w:firstLine="28"/>
              <w:jc w:val="center"/>
              <w:rPr>
                <w:rFonts w:hint="eastAsia" w:ascii="宋体" w:hAnsi="宋体" w:eastAsia="宋体" w:cs="宋体"/>
                <w:color w:val="000000"/>
                <w:sz w:val="20"/>
                <w:szCs w:val="20"/>
              </w:rPr>
            </w:pPr>
            <w:r>
              <w:rPr>
                <w:rFonts w:hint="eastAsia" w:ascii="宋体" w:hAnsi="宋体" w:eastAsia="宋体" w:cs="宋体"/>
                <w:color w:val="000000"/>
                <w:sz w:val="20"/>
                <w:szCs w:val="20"/>
              </w:rPr>
              <w:t>（</w:t>
            </w:r>
            <w:r>
              <w:rPr>
                <w:rFonts w:hint="eastAsia" w:ascii="宋体" w:hAnsi="宋体" w:eastAsia="宋体" w:cs="宋体"/>
                <w:color w:val="000000"/>
                <w:sz w:val="20"/>
                <w:szCs w:val="20"/>
                <w:lang w:val="en-US" w:eastAsia="zh-CN"/>
              </w:rPr>
              <w:t>5</w:t>
            </w:r>
            <w:r>
              <w:rPr>
                <w:rFonts w:hint="eastAsia" w:ascii="宋体" w:hAnsi="宋体" w:cs="宋体"/>
                <w:color w:val="000000"/>
                <w:sz w:val="20"/>
                <w:szCs w:val="20"/>
                <w:lang w:val="en-US" w:eastAsia="zh-CN"/>
              </w:rPr>
              <w:t>5</w:t>
            </w:r>
            <w:r>
              <w:rPr>
                <w:rFonts w:hint="eastAsia" w:ascii="宋体" w:hAnsi="宋体" w:eastAsia="宋体" w:cs="宋体"/>
                <w:color w:val="000000"/>
                <w:sz w:val="20"/>
                <w:szCs w:val="20"/>
              </w:rPr>
              <w:t>%）</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技术响应程度（</w:t>
            </w:r>
            <w:r>
              <w:rPr>
                <w:rFonts w:hint="eastAsia" w:ascii="宋体" w:hAnsi="宋体" w:eastAsia="宋体" w:cs="宋体"/>
                <w:color w:val="000000"/>
                <w:sz w:val="20"/>
                <w:szCs w:val="20"/>
                <w:lang w:val="en-US" w:eastAsia="zh-CN"/>
              </w:rPr>
              <w:t>30</w:t>
            </w:r>
            <w:r>
              <w:rPr>
                <w:rFonts w:hint="eastAsia" w:ascii="宋体" w:hAnsi="宋体" w:eastAsia="宋体" w:cs="宋体"/>
                <w:color w:val="000000"/>
                <w:sz w:val="20"/>
                <w:szCs w:val="20"/>
              </w:rPr>
              <w:t>分）</w:t>
            </w:r>
          </w:p>
        </w:tc>
        <w:tc>
          <w:tcPr>
            <w:tcW w:w="53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0"/>
                <w:szCs w:val="20"/>
              </w:rPr>
            </w:pPr>
            <w:r>
              <w:rPr>
                <w:rFonts w:hint="eastAsia" w:ascii="宋体" w:hAnsi="宋体" w:eastAsia="宋体" w:cs="宋体"/>
                <w:color w:val="000000"/>
                <w:sz w:val="20"/>
                <w:szCs w:val="20"/>
              </w:rPr>
              <w:t xml:space="preserve">技术参数响应情况: </w:t>
            </w:r>
          </w:p>
          <w:p>
            <w:pPr>
              <w:rPr>
                <w:rFonts w:hint="eastAsia" w:ascii="宋体" w:hAnsi="宋体" w:eastAsia="宋体" w:cs="宋体"/>
                <w:color w:val="000000"/>
                <w:sz w:val="20"/>
                <w:szCs w:val="20"/>
              </w:rPr>
            </w:pPr>
            <w:r>
              <w:rPr>
                <w:rFonts w:hint="eastAsia" w:ascii="宋体" w:hAnsi="宋体" w:eastAsia="宋体" w:cs="宋体"/>
                <w:color w:val="000000"/>
                <w:sz w:val="20"/>
                <w:szCs w:val="20"/>
              </w:rPr>
              <w:t xml:space="preserve">1.根据投标人对采购文件采购需求的响应情况进行打分，供应商所报内容的技术参数全部满足招标文件技术要求的，本项最高得 </w:t>
            </w:r>
            <w:r>
              <w:rPr>
                <w:rFonts w:hint="eastAsia" w:ascii="宋体" w:hAnsi="宋体" w:eastAsia="宋体" w:cs="宋体"/>
                <w:color w:val="000000"/>
                <w:sz w:val="20"/>
                <w:szCs w:val="20"/>
                <w:lang w:val="en-US" w:eastAsia="zh-CN"/>
              </w:rPr>
              <w:t>30</w:t>
            </w:r>
            <w:r>
              <w:rPr>
                <w:rFonts w:hint="eastAsia" w:ascii="宋体" w:hAnsi="宋体" w:eastAsia="宋体" w:cs="宋体"/>
                <w:color w:val="000000"/>
                <w:sz w:val="20"/>
                <w:szCs w:val="20"/>
              </w:rPr>
              <w:t xml:space="preserve">分。 </w:t>
            </w:r>
          </w:p>
          <w:p>
            <w:pPr>
              <w:rPr>
                <w:rFonts w:hint="eastAsia" w:ascii="宋体" w:hAnsi="宋体" w:eastAsia="宋体" w:cs="宋体"/>
                <w:color w:val="000000"/>
                <w:sz w:val="20"/>
                <w:szCs w:val="20"/>
              </w:rPr>
            </w:pPr>
            <w:r>
              <w:rPr>
                <w:rFonts w:hint="eastAsia" w:ascii="宋体" w:hAnsi="宋体" w:eastAsia="宋体" w:cs="宋体"/>
                <w:color w:val="000000"/>
                <w:sz w:val="20"/>
                <w:szCs w:val="20"/>
              </w:rPr>
              <w:t>2.负偏离:带“★”条款负偏离一项，则技术响应部分</w:t>
            </w:r>
            <w:r>
              <w:rPr>
                <w:rFonts w:hint="eastAsia" w:ascii="宋体" w:hAnsi="宋体" w:eastAsia="宋体" w:cs="宋体"/>
                <w:color w:val="000000"/>
                <w:sz w:val="20"/>
                <w:szCs w:val="20"/>
                <w:lang w:eastAsia="zh-CN"/>
              </w:rPr>
              <w:t>扣</w:t>
            </w:r>
            <w:r>
              <w:rPr>
                <w:rFonts w:hint="eastAsia" w:ascii="宋体" w:hAnsi="宋体" w:eastAsia="宋体" w:cs="宋体"/>
                <w:color w:val="000000"/>
                <w:sz w:val="20"/>
                <w:szCs w:val="20"/>
                <w:lang w:val="en-US" w:eastAsia="zh-CN"/>
              </w:rPr>
              <w:t>1</w:t>
            </w:r>
            <w:r>
              <w:rPr>
                <w:rFonts w:hint="eastAsia" w:ascii="宋体" w:hAnsi="宋体" w:eastAsia="宋体" w:cs="宋体"/>
                <w:color w:val="000000"/>
                <w:sz w:val="20"/>
                <w:szCs w:val="20"/>
              </w:rPr>
              <w:t>0分；非“★”条款每负偏离一项扣5分，扣完为止。</w:t>
            </w:r>
          </w:p>
        </w:tc>
        <w:tc>
          <w:tcPr>
            <w:tcW w:w="18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trPr>
        <w:tc>
          <w:tcPr>
            <w:tcW w:w="655" w:type="dxa"/>
            <w:vMerge w:val="continue"/>
            <w:tcBorders>
              <w:left w:val="single" w:color="auto" w:sz="4" w:space="0"/>
              <w:right w:val="single" w:color="auto" w:sz="4" w:space="0"/>
            </w:tcBorders>
            <w:noWrap w:val="0"/>
            <w:vAlign w:val="center"/>
          </w:tcPr>
          <w:p>
            <w:pPr>
              <w:ind w:firstLine="28"/>
              <w:jc w:val="center"/>
              <w:rPr>
                <w:rFonts w:hint="eastAsia" w:ascii="宋体" w:hAnsi="宋体" w:eastAsia="宋体" w:cs="宋体"/>
                <w:color w:val="000000"/>
                <w:sz w:val="20"/>
                <w:szCs w:val="20"/>
              </w:rPr>
            </w:pPr>
          </w:p>
        </w:tc>
        <w:tc>
          <w:tcPr>
            <w:tcW w:w="1100" w:type="dxa"/>
            <w:vMerge w:val="continue"/>
            <w:tcBorders>
              <w:left w:val="single" w:color="auto" w:sz="4" w:space="0"/>
              <w:right w:val="single" w:color="auto" w:sz="4" w:space="0"/>
            </w:tcBorders>
            <w:noWrap w:val="0"/>
            <w:vAlign w:val="center"/>
          </w:tcPr>
          <w:p>
            <w:pPr>
              <w:ind w:firstLine="28"/>
              <w:jc w:val="center"/>
              <w:rPr>
                <w:rFonts w:hint="eastAsia" w:ascii="宋体" w:hAnsi="宋体" w:eastAsia="宋体" w:cs="宋体"/>
                <w:color w:val="000000"/>
                <w:sz w:val="20"/>
                <w:szCs w:val="20"/>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功能响应</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1</w:t>
            </w:r>
            <w:r>
              <w:rPr>
                <w:rFonts w:hint="eastAsia" w:ascii="宋体" w:hAnsi="宋体" w:cs="宋体"/>
                <w:color w:val="000000"/>
                <w:sz w:val="20"/>
                <w:szCs w:val="20"/>
                <w:lang w:val="en-US" w:eastAsia="zh-CN"/>
              </w:rPr>
              <w:t>5</w:t>
            </w:r>
            <w:r>
              <w:rPr>
                <w:rFonts w:hint="eastAsia" w:ascii="宋体" w:hAnsi="宋体" w:eastAsia="宋体" w:cs="宋体"/>
                <w:color w:val="000000"/>
                <w:sz w:val="20"/>
                <w:szCs w:val="20"/>
              </w:rPr>
              <w:t>分</w:t>
            </w:r>
            <w:r>
              <w:rPr>
                <w:rFonts w:hint="eastAsia" w:ascii="宋体" w:hAnsi="宋体" w:eastAsia="宋体" w:cs="宋体"/>
                <w:color w:val="000000"/>
                <w:sz w:val="20"/>
                <w:szCs w:val="20"/>
                <w:lang w:eastAsia="zh-CN"/>
              </w:rPr>
              <w:t>）</w:t>
            </w:r>
          </w:p>
        </w:tc>
        <w:tc>
          <w:tcPr>
            <w:tcW w:w="537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val="en-US" w:eastAsia="zh-CN"/>
              </w:rPr>
              <w:t>1、</w:t>
            </w:r>
            <w:r>
              <w:rPr>
                <w:rFonts w:hint="eastAsia" w:ascii="宋体" w:hAnsi="宋体" w:eastAsia="宋体" w:cs="宋体"/>
                <w:color w:val="000000"/>
                <w:sz w:val="20"/>
                <w:szCs w:val="20"/>
              </w:rPr>
              <w:t>内容安全检测：支持敏感文本、图片、文档在线检测功能；支持自定义敏感关键词、敏感忽略词、用户黑白名单、图片名单。支持通过用户风险统计、垃圾发布量、垃圾发布率的维度统计用户风险。</w:t>
            </w:r>
            <w:r>
              <w:rPr>
                <w:rFonts w:hint="eastAsia" w:ascii="宋体" w:hAnsi="宋体" w:eastAsia="宋体" w:cs="宋体"/>
                <w:color w:val="000000"/>
                <w:sz w:val="20"/>
                <w:szCs w:val="20"/>
                <w:lang w:eastAsia="zh-CN"/>
              </w:rPr>
              <w:t>投标文件包含上述相关说明支撑材料得</w:t>
            </w:r>
            <w:r>
              <w:rPr>
                <w:rFonts w:hint="eastAsia" w:ascii="宋体" w:hAnsi="宋体" w:eastAsia="宋体" w:cs="宋体"/>
                <w:color w:val="000000"/>
                <w:sz w:val="20"/>
                <w:szCs w:val="20"/>
                <w:lang w:val="en-US" w:eastAsia="zh-CN"/>
              </w:rPr>
              <w:t>2分，</w:t>
            </w:r>
            <w:r>
              <w:rPr>
                <w:rFonts w:hint="eastAsia" w:ascii="宋体" w:hAnsi="宋体" w:eastAsia="宋体" w:cs="宋体"/>
                <w:color w:val="000000"/>
                <w:sz w:val="20"/>
                <w:szCs w:val="20"/>
              </w:rPr>
              <w:t>演示成功得</w:t>
            </w:r>
            <w:r>
              <w:rPr>
                <w:rFonts w:hint="eastAsia" w:ascii="宋体" w:hAnsi="宋体" w:eastAsia="宋体" w:cs="宋体"/>
                <w:color w:val="000000"/>
                <w:sz w:val="20"/>
                <w:szCs w:val="20"/>
                <w:lang w:val="en-US" w:eastAsia="zh-CN"/>
              </w:rPr>
              <w:t>2</w:t>
            </w:r>
            <w:r>
              <w:rPr>
                <w:rFonts w:hint="eastAsia" w:ascii="宋体" w:hAnsi="宋体" w:eastAsia="宋体" w:cs="宋体"/>
                <w:color w:val="000000"/>
                <w:sz w:val="20"/>
                <w:szCs w:val="20"/>
              </w:rPr>
              <w:t>分，</w:t>
            </w:r>
            <w:r>
              <w:rPr>
                <w:rFonts w:hint="eastAsia" w:ascii="宋体" w:hAnsi="宋体" w:eastAsia="宋体" w:cs="宋体"/>
                <w:color w:val="000000"/>
                <w:sz w:val="20"/>
                <w:szCs w:val="20"/>
                <w:lang w:eastAsia="zh-CN"/>
              </w:rPr>
              <w:t>未提供材料或</w:t>
            </w:r>
            <w:r>
              <w:rPr>
                <w:rFonts w:hint="eastAsia" w:ascii="宋体" w:hAnsi="宋体" w:eastAsia="宋体" w:cs="宋体"/>
                <w:color w:val="000000"/>
                <w:sz w:val="20"/>
                <w:szCs w:val="20"/>
              </w:rPr>
              <w:t>不按要求演示不得分。</w:t>
            </w:r>
          </w:p>
          <w:p>
            <w:pP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2、</w:t>
            </w:r>
            <w:r>
              <w:rPr>
                <w:rFonts w:hint="eastAsia" w:ascii="宋体" w:hAnsi="宋体" w:eastAsia="宋体" w:cs="宋体"/>
                <w:color w:val="000000"/>
                <w:sz w:val="20"/>
                <w:szCs w:val="20"/>
              </w:rPr>
              <w:t>课程知识图谱管理:支持关联关系自定义，可进行添加描述并显示在图谱页面；支持进行跨课知识点关联，实现不同课程自之间知识的聚合联动，关联后可以实现跨课学习并进行专业下多门课程的知识点关联展示应用；演示成功得</w:t>
            </w:r>
            <w:r>
              <w:rPr>
                <w:rFonts w:hint="eastAsia" w:ascii="宋体" w:hAnsi="宋体" w:eastAsia="宋体" w:cs="宋体"/>
                <w:color w:val="000000"/>
                <w:sz w:val="20"/>
                <w:szCs w:val="20"/>
                <w:lang w:val="en-US" w:eastAsia="zh-CN"/>
              </w:rPr>
              <w:t>4</w:t>
            </w:r>
            <w:r>
              <w:rPr>
                <w:rFonts w:hint="eastAsia" w:ascii="宋体" w:hAnsi="宋体" w:eastAsia="宋体" w:cs="宋体"/>
                <w:color w:val="000000"/>
                <w:sz w:val="20"/>
                <w:szCs w:val="20"/>
              </w:rPr>
              <w:t>分，不按要求演示不得分。</w:t>
            </w:r>
          </w:p>
          <w:p>
            <w:pP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3</w:t>
            </w:r>
            <w:r>
              <w:rPr>
                <w:rFonts w:hint="eastAsia" w:ascii="宋体" w:hAnsi="宋体" w:eastAsia="宋体" w:cs="宋体"/>
                <w:color w:val="000000"/>
                <w:sz w:val="20"/>
                <w:szCs w:val="20"/>
              </w:rPr>
              <w:t>、作业查重：对于简答题、论述题等，可进行学生作业之间相似度分析。演示成功得</w:t>
            </w:r>
            <w:r>
              <w:rPr>
                <w:rFonts w:hint="eastAsia" w:ascii="宋体" w:hAnsi="宋体" w:eastAsia="宋体" w:cs="宋体"/>
                <w:color w:val="000000"/>
                <w:sz w:val="20"/>
                <w:szCs w:val="20"/>
                <w:lang w:val="en-US" w:eastAsia="zh-CN"/>
              </w:rPr>
              <w:t>4</w:t>
            </w:r>
            <w:r>
              <w:rPr>
                <w:rFonts w:hint="eastAsia" w:ascii="宋体" w:hAnsi="宋体" w:eastAsia="宋体" w:cs="宋体"/>
                <w:color w:val="000000"/>
                <w:sz w:val="20"/>
                <w:szCs w:val="20"/>
              </w:rPr>
              <w:t>分，不按要求演示不得分。</w:t>
            </w:r>
          </w:p>
          <w:p>
            <w:pPr>
              <w:rPr>
                <w:rFonts w:hint="eastAsia" w:eastAsia="宋体"/>
                <w:lang w:val="en-US" w:eastAsia="zh-CN"/>
              </w:rPr>
            </w:pPr>
            <w:r>
              <w:rPr>
                <w:rFonts w:hint="eastAsia" w:ascii="宋体" w:hAnsi="宋体" w:eastAsia="宋体" w:cs="宋体"/>
                <w:color w:val="000000"/>
                <w:sz w:val="20"/>
                <w:szCs w:val="20"/>
                <w:lang w:val="en-US" w:eastAsia="zh-CN"/>
              </w:rPr>
              <w:t>4</w:t>
            </w:r>
            <w:r>
              <w:rPr>
                <w:rFonts w:hint="eastAsia" w:ascii="宋体" w:hAnsi="宋体" w:eastAsia="宋体" w:cs="宋体"/>
                <w:color w:val="000000"/>
                <w:sz w:val="20"/>
                <w:szCs w:val="20"/>
              </w:rPr>
              <w:t>、组好的试卷可进行封存保管，对封存的试卷在考试前必须输入试卷密码才能开启试卷。演示成功得3分，不按要求演示不得分。</w:t>
            </w:r>
          </w:p>
        </w:tc>
        <w:tc>
          <w:tcPr>
            <w:tcW w:w="1816"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auto"/>
                <w:sz w:val="20"/>
                <w:szCs w:val="20"/>
              </w:rPr>
              <w:t>投标人需自行携带演示设备进行演示。需提供实际课程运行平台进演示，通过其他演示方式（如原型设计软件/视频/录屏/截图/文档等演示方式）不得分。时间不超过</w:t>
            </w:r>
            <w:r>
              <w:rPr>
                <w:rFonts w:hint="eastAsia" w:ascii="宋体" w:hAnsi="宋体" w:eastAsia="宋体" w:cs="宋体"/>
                <w:color w:val="auto"/>
                <w:sz w:val="20"/>
                <w:szCs w:val="20"/>
                <w:lang w:val="en-US" w:eastAsia="zh-CN"/>
              </w:rPr>
              <w:t>5</w:t>
            </w:r>
            <w:r>
              <w:rPr>
                <w:rFonts w:hint="eastAsia" w:ascii="宋体" w:hAnsi="宋体" w:eastAsia="宋体" w:cs="宋体"/>
                <w:color w:val="auto"/>
                <w:sz w:val="20"/>
                <w:szCs w:val="20"/>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655"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000000"/>
                <w:sz w:val="20"/>
                <w:szCs w:val="20"/>
              </w:rPr>
            </w:pPr>
          </w:p>
        </w:tc>
        <w:tc>
          <w:tcPr>
            <w:tcW w:w="11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0"/>
                <w:szCs w:val="20"/>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ind w:firstLine="28"/>
              <w:jc w:val="center"/>
              <w:rPr>
                <w:rFonts w:hint="eastAsia" w:ascii="宋体" w:hAnsi="宋体" w:eastAsia="宋体" w:cs="宋体"/>
                <w:color w:val="auto"/>
                <w:sz w:val="20"/>
                <w:szCs w:val="20"/>
              </w:rPr>
            </w:pPr>
            <w:r>
              <w:rPr>
                <w:rFonts w:hint="eastAsia" w:ascii="宋体" w:hAnsi="宋体" w:eastAsia="宋体" w:cs="宋体"/>
                <w:color w:val="auto"/>
                <w:sz w:val="20"/>
                <w:szCs w:val="20"/>
              </w:rPr>
              <w:t>现</w:t>
            </w:r>
            <w:r>
              <w:rPr>
                <w:rFonts w:hint="eastAsia" w:ascii="宋体" w:hAnsi="宋体" w:eastAsia="宋体" w:cs="宋体"/>
                <w:color w:val="auto"/>
                <w:sz w:val="20"/>
                <w:szCs w:val="20"/>
                <w:lang w:eastAsia="zh-CN"/>
              </w:rPr>
              <w:t>场</w:t>
            </w:r>
            <w:r>
              <w:rPr>
                <w:rFonts w:hint="eastAsia" w:ascii="宋体" w:hAnsi="宋体" w:eastAsia="宋体" w:cs="宋体"/>
                <w:color w:val="auto"/>
                <w:sz w:val="20"/>
                <w:szCs w:val="20"/>
              </w:rPr>
              <w:t>演示（</w:t>
            </w:r>
            <w:r>
              <w:rPr>
                <w:rFonts w:hint="eastAsia" w:ascii="宋体" w:hAnsi="宋体" w:eastAsia="宋体" w:cs="宋体"/>
                <w:color w:val="auto"/>
                <w:sz w:val="20"/>
                <w:szCs w:val="20"/>
                <w:lang w:val="en-US" w:eastAsia="zh-CN"/>
              </w:rPr>
              <w:t>10</w:t>
            </w:r>
            <w:r>
              <w:rPr>
                <w:rFonts w:hint="eastAsia" w:ascii="宋体" w:hAnsi="宋体" w:eastAsia="宋体" w:cs="宋体"/>
                <w:color w:val="auto"/>
                <w:sz w:val="20"/>
                <w:szCs w:val="20"/>
              </w:rPr>
              <w:t>分）</w:t>
            </w:r>
          </w:p>
        </w:tc>
        <w:tc>
          <w:tcPr>
            <w:tcW w:w="53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投标供应商选取与招标单位专业相关的1个知识点进行视频资源的演示，展示时间不少于60秒的demo作品，包括制作脚本和成品。演示内容完整、易懂、设计合理的得5分；演示内容简单、有设计缺陷的得3分；演示内容模糊的得1分，不演示得0分。</w:t>
            </w:r>
          </w:p>
          <w:p>
            <w:pPr>
              <w:rPr>
                <w:rFonts w:hint="eastAsia" w:ascii="宋体" w:hAnsi="宋体" w:eastAsia="宋体" w:cs="宋体"/>
                <w:color w:val="auto"/>
                <w:sz w:val="20"/>
                <w:szCs w:val="20"/>
              </w:rPr>
            </w:pPr>
            <w:r>
              <w:rPr>
                <w:rFonts w:hint="eastAsia" w:ascii="宋体" w:hAnsi="宋体" w:eastAsia="宋体" w:cs="宋体"/>
                <w:color w:val="000000"/>
                <w:sz w:val="20"/>
                <w:szCs w:val="20"/>
                <w:lang w:val="en-US" w:eastAsia="zh-CN"/>
              </w:rPr>
              <w:t>2、数字人微课视频演示，提供投标供应商已经制作的数字人微课视频演示，真人真声定制，数字人人像构建还原度达到98%，数字人声音构建还原度达98%。演示成功得5分，不按要求演示或不演示不得分。</w:t>
            </w:r>
          </w:p>
        </w:tc>
        <w:tc>
          <w:tcPr>
            <w:tcW w:w="181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jc w:val="left"/>
              <w:rPr>
                <w:rFonts w:hint="eastAsia" w:ascii="宋体" w:hAnsi="宋体" w:eastAsia="宋体" w:cs="宋体"/>
                <w:color w:val="auto"/>
                <w:sz w:val="20"/>
                <w:szCs w:val="20"/>
              </w:rPr>
            </w:pPr>
            <w:r>
              <w:rPr>
                <w:rFonts w:hint="eastAsia" w:ascii="宋体" w:hAnsi="宋体" w:eastAsia="宋体" w:cs="宋体"/>
                <w:color w:val="auto"/>
                <w:sz w:val="20"/>
                <w:szCs w:val="20"/>
              </w:rPr>
              <w:t>供应商需自行携带演示设备进行演示，演示时间不超过5分钟。</w:t>
            </w:r>
          </w:p>
          <w:p>
            <w:pPr>
              <w:autoSpaceDE w:val="0"/>
              <w:autoSpaceDN w:val="0"/>
              <w:adjustRightInd w:val="0"/>
              <w:snapToGrid w:val="0"/>
              <w:jc w:val="left"/>
              <w:rPr>
                <w:rFonts w:hint="eastAsia" w:ascii="宋体" w:hAnsi="宋体" w:eastAsia="宋体"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vMerge w:val="restart"/>
            <w:tcBorders>
              <w:top w:val="nil"/>
              <w:left w:val="single" w:color="auto" w:sz="4" w:space="0"/>
              <w:bottom w:val="single" w:color="auto" w:sz="4" w:space="0"/>
              <w:right w:val="single" w:color="auto" w:sz="4" w:space="0"/>
            </w:tcBorders>
            <w:noWrap w:val="0"/>
            <w:vAlign w:val="center"/>
          </w:tcPr>
          <w:p>
            <w:pPr>
              <w:ind w:firstLine="28"/>
              <w:jc w:val="center"/>
              <w:rPr>
                <w:rFonts w:hint="eastAsia" w:ascii="宋体" w:hAnsi="宋体" w:eastAsia="宋体" w:cs="宋体"/>
                <w:color w:val="000000"/>
                <w:sz w:val="20"/>
                <w:szCs w:val="20"/>
              </w:rPr>
            </w:pPr>
            <w:r>
              <w:rPr>
                <w:rFonts w:hint="eastAsia" w:ascii="宋体" w:hAnsi="宋体" w:eastAsia="宋体" w:cs="宋体"/>
                <w:color w:val="000000"/>
                <w:sz w:val="20"/>
                <w:szCs w:val="20"/>
              </w:rPr>
              <w:t>3</w:t>
            </w:r>
          </w:p>
          <w:p>
            <w:pPr>
              <w:ind w:firstLine="28"/>
              <w:jc w:val="center"/>
              <w:rPr>
                <w:rFonts w:hint="eastAsia" w:ascii="宋体" w:hAnsi="宋体" w:eastAsia="宋体" w:cs="宋体"/>
                <w:color w:val="000000"/>
                <w:sz w:val="20"/>
                <w:szCs w:val="20"/>
              </w:rPr>
            </w:pPr>
          </w:p>
        </w:tc>
        <w:tc>
          <w:tcPr>
            <w:tcW w:w="1100" w:type="dxa"/>
            <w:vMerge w:val="restart"/>
            <w:tcBorders>
              <w:top w:val="single" w:color="auto" w:sz="4" w:space="0"/>
              <w:left w:val="single" w:color="auto" w:sz="4" w:space="0"/>
              <w:bottom w:val="single" w:color="auto" w:sz="4" w:space="0"/>
              <w:right w:val="single" w:color="auto" w:sz="4" w:space="0"/>
            </w:tcBorders>
            <w:noWrap w:val="0"/>
            <w:vAlign w:val="center"/>
          </w:tcPr>
          <w:p>
            <w:pPr>
              <w:ind w:firstLine="28"/>
              <w:jc w:val="center"/>
              <w:rPr>
                <w:rFonts w:hint="eastAsia" w:ascii="宋体" w:hAnsi="宋体" w:eastAsia="宋体" w:cs="宋体"/>
                <w:color w:val="000000"/>
                <w:sz w:val="20"/>
                <w:szCs w:val="20"/>
              </w:rPr>
            </w:pPr>
            <w:r>
              <w:rPr>
                <w:rFonts w:hint="eastAsia" w:ascii="宋体" w:hAnsi="宋体" w:eastAsia="宋体" w:cs="宋体"/>
                <w:color w:val="000000"/>
                <w:sz w:val="20"/>
                <w:szCs w:val="20"/>
              </w:rPr>
              <w:t>商务部分</w:t>
            </w:r>
          </w:p>
          <w:p>
            <w:pPr>
              <w:ind w:firstLine="28"/>
              <w:jc w:val="center"/>
              <w:rPr>
                <w:rFonts w:hint="eastAsia" w:ascii="宋体" w:hAnsi="宋体" w:eastAsia="宋体" w:cs="宋体"/>
                <w:color w:val="000000"/>
                <w:sz w:val="20"/>
                <w:szCs w:val="20"/>
              </w:rPr>
            </w:pPr>
            <w:r>
              <w:rPr>
                <w:rFonts w:hint="eastAsia" w:ascii="宋体" w:hAnsi="宋体" w:eastAsia="宋体" w:cs="宋体"/>
                <w:color w:val="000000"/>
                <w:sz w:val="20"/>
                <w:szCs w:val="20"/>
              </w:rPr>
              <w:t>（</w:t>
            </w:r>
            <w:r>
              <w:rPr>
                <w:rFonts w:hint="eastAsia" w:ascii="宋体" w:hAnsi="宋体" w:eastAsia="宋体" w:cs="宋体"/>
                <w:color w:val="000000"/>
                <w:sz w:val="20"/>
                <w:szCs w:val="20"/>
                <w:lang w:val="en-US" w:eastAsia="zh-CN"/>
              </w:rPr>
              <w:t>3</w:t>
            </w:r>
            <w:r>
              <w:rPr>
                <w:rFonts w:hint="eastAsia" w:ascii="宋体" w:hAnsi="宋体" w:cs="宋体"/>
                <w:color w:val="000000"/>
                <w:sz w:val="20"/>
                <w:szCs w:val="20"/>
                <w:lang w:val="en-US" w:eastAsia="zh-CN"/>
              </w:rPr>
              <w:t>0</w:t>
            </w:r>
            <w:r>
              <w:rPr>
                <w:rFonts w:hint="eastAsia" w:ascii="宋体" w:hAnsi="宋体" w:eastAsia="宋体" w:cs="宋体"/>
                <w:color w:val="000000"/>
                <w:sz w:val="20"/>
                <w:szCs w:val="20"/>
              </w:rPr>
              <w:t>%）</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ind w:firstLine="28"/>
              <w:jc w:val="center"/>
              <w:rPr>
                <w:rFonts w:hint="eastAsia" w:ascii="宋体" w:hAnsi="宋体" w:eastAsia="宋体" w:cs="宋体"/>
                <w:color w:val="000000"/>
                <w:sz w:val="20"/>
                <w:szCs w:val="20"/>
              </w:rPr>
            </w:pPr>
            <w:r>
              <w:rPr>
                <w:rFonts w:hint="eastAsia" w:ascii="宋体" w:hAnsi="宋体" w:eastAsia="宋体" w:cs="宋体"/>
                <w:color w:val="000000"/>
                <w:sz w:val="20"/>
                <w:szCs w:val="20"/>
              </w:rPr>
              <w:t>企业能力（10分）</w:t>
            </w:r>
          </w:p>
        </w:tc>
        <w:tc>
          <w:tcPr>
            <w:tcW w:w="5376" w:type="dxa"/>
            <w:tcBorders>
              <w:top w:val="single" w:color="auto" w:sz="4" w:space="0"/>
              <w:left w:val="single" w:color="auto" w:sz="4" w:space="0"/>
              <w:bottom w:val="single" w:color="auto" w:sz="4" w:space="0"/>
              <w:right w:val="single" w:color="auto" w:sz="4" w:space="0"/>
            </w:tcBorders>
            <w:noWrap w:val="0"/>
            <w:vAlign w:val="center"/>
          </w:tcPr>
          <w:p>
            <w:pPr>
              <w:ind w:firstLine="28"/>
              <w:jc w:val="left"/>
              <w:rPr>
                <w:rFonts w:hint="eastAsia" w:ascii="宋体" w:hAnsi="宋体" w:eastAsia="宋体" w:cs="宋体"/>
                <w:color w:val="000000"/>
                <w:sz w:val="20"/>
                <w:szCs w:val="20"/>
              </w:rPr>
            </w:pPr>
            <w:r>
              <w:rPr>
                <w:rFonts w:hint="eastAsia" w:ascii="宋体" w:hAnsi="宋体" w:eastAsia="宋体" w:cs="宋体"/>
                <w:color w:val="000000"/>
                <w:sz w:val="20"/>
                <w:szCs w:val="20"/>
              </w:rPr>
              <w:t>1、具有企业信用具有AAA等级</w:t>
            </w:r>
            <w:r>
              <w:rPr>
                <w:rFonts w:hint="eastAsia" w:ascii="宋体" w:hAnsi="宋体" w:eastAsia="宋体" w:cs="宋体"/>
                <w:color w:val="000000"/>
                <w:sz w:val="20"/>
                <w:szCs w:val="20"/>
                <w:lang w:eastAsia="zh-CN"/>
              </w:rPr>
              <w:t>及以上</w:t>
            </w:r>
            <w:r>
              <w:rPr>
                <w:rFonts w:hint="eastAsia" w:ascii="宋体" w:hAnsi="宋体" w:eastAsia="宋体" w:cs="宋体"/>
                <w:color w:val="000000"/>
                <w:sz w:val="20"/>
                <w:szCs w:val="20"/>
              </w:rPr>
              <w:t>证书的得1分</w:t>
            </w:r>
          </w:p>
          <w:p>
            <w:pPr>
              <w:ind w:firstLine="28"/>
              <w:jc w:val="left"/>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2</w:t>
            </w:r>
            <w:r>
              <w:rPr>
                <w:rFonts w:hint="eastAsia" w:ascii="宋体" w:hAnsi="宋体" w:eastAsia="宋体" w:cs="宋体"/>
                <w:color w:val="000000"/>
                <w:sz w:val="20"/>
                <w:szCs w:val="20"/>
              </w:rPr>
              <w:t>、具有ISO9001质量管理体系认证证书的得1分</w:t>
            </w:r>
          </w:p>
          <w:p>
            <w:pPr>
              <w:ind w:firstLine="28"/>
              <w:jc w:val="left"/>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3</w:t>
            </w:r>
            <w:r>
              <w:rPr>
                <w:rFonts w:hint="eastAsia" w:ascii="宋体" w:hAnsi="宋体" w:eastAsia="宋体" w:cs="宋体"/>
                <w:color w:val="000000"/>
                <w:sz w:val="20"/>
                <w:szCs w:val="20"/>
              </w:rPr>
              <w:t>、</w:t>
            </w:r>
            <w:r>
              <w:rPr>
                <w:rFonts w:hint="eastAsia" w:ascii="宋体" w:hAnsi="宋体" w:eastAsia="宋体" w:cs="宋体"/>
                <w:color w:val="000000"/>
                <w:sz w:val="20"/>
                <w:szCs w:val="20"/>
                <w:lang w:val="en-US" w:eastAsia="zh-CN"/>
              </w:rPr>
              <w:t>具有</w:t>
            </w:r>
            <w:r>
              <w:rPr>
                <w:rFonts w:hint="eastAsia" w:ascii="宋体" w:hAnsi="宋体" w:eastAsia="宋体" w:cs="宋体"/>
                <w:color w:val="000000"/>
                <w:sz w:val="20"/>
                <w:szCs w:val="20"/>
              </w:rPr>
              <w:t>在线虚拟课件制作系统软件著作权登记证书得</w:t>
            </w:r>
            <w:r>
              <w:rPr>
                <w:rFonts w:hint="eastAsia" w:ascii="宋体" w:hAnsi="宋体" w:eastAsia="宋体" w:cs="宋体"/>
                <w:color w:val="000000"/>
                <w:sz w:val="20"/>
                <w:szCs w:val="20"/>
                <w:lang w:val="en-US" w:eastAsia="zh-CN"/>
              </w:rPr>
              <w:t>2</w:t>
            </w:r>
            <w:r>
              <w:rPr>
                <w:rFonts w:hint="eastAsia" w:ascii="宋体" w:hAnsi="宋体" w:eastAsia="宋体" w:cs="宋体"/>
                <w:color w:val="000000"/>
                <w:sz w:val="20"/>
                <w:szCs w:val="20"/>
              </w:rPr>
              <w:t>分</w:t>
            </w:r>
          </w:p>
          <w:p>
            <w:pPr>
              <w:ind w:firstLine="28"/>
              <w:jc w:val="left"/>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4</w:t>
            </w:r>
            <w:r>
              <w:rPr>
                <w:rFonts w:hint="eastAsia" w:ascii="宋体" w:hAnsi="宋体" w:eastAsia="宋体" w:cs="宋体"/>
                <w:color w:val="000000"/>
                <w:sz w:val="20"/>
                <w:szCs w:val="20"/>
              </w:rPr>
              <w:t>、具有云盘国家计算机软件著作权登记证书的得2分</w:t>
            </w:r>
          </w:p>
          <w:p>
            <w:pPr>
              <w:ind w:firstLine="28"/>
              <w:jc w:val="left"/>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5</w:t>
            </w:r>
            <w:r>
              <w:rPr>
                <w:rFonts w:hint="eastAsia" w:ascii="宋体" w:hAnsi="宋体" w:eastAsia="宋体" w:cs="宋体"/>
                <w:color w:val="000000"/>
                <w:sz w:val="20"/>
                <w:szCs w:val="20"/>
              </w:rPr>
              <w:t>、具有智慧阅读系统软件著作权登记证书的得2分</w:t>
            </w:r>
          </w:p>
          <w:p>
            <w:pPr>
              <w:ind w:firstLine="28"/>
              <w:jc w:val="left"/>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6</w:t>
            </w:r>
            <w:r>
              <w:rPr>
                <w:rFonts w:hint="eastAsia" w:ascii="宋体" w:hAnsi="宋体" w:eastAsia="宋体" w:cs="宋体"/>
                <w:color w:val="000000"/>
                <w:sz w:val="20"/>
                <w:szCs w:val="20"/>
              </w:rPr>
              <w:t>、具有智慧教学系统的国家信息安全等保三级证书得2分</w:t>
            </w:r>
          </w:p>
        </w:tc>
        <w:tc>
          <w:tcPr>
            <w:tcW w:w="181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jc w:val="left"/>
              <w:rPr>
                <w:rFonts w:hint="eastAsia" w:ascii="宋体" w:hAnsi="宋体" w:eastAsia="宋体" w:cs="宋体"/>
                <w:color w:val="000000"/>
                <w:sz w:val="20"/>
                <w:szCs w:val="20"/>
              </w:rPr>
            </w:pPr>
            <w:r>
              <w:rPr>
                <w:rFonts w:hint="eastAsia" w:ascii="宋体" w:hAnsi="宋体" w:eastAsia="宋体" w:cs="宋体"/>
                <w:color w:val="000000"/>
                <w:sz w:val="20"/>
                <w:szCs w:val="20"/>
              </w:rPr>
              <w:t>提供证书复印件并加盖公章，不提供不得分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0"/>
                <w:szCs w:val="20"/>
              </w:rPr>
            </w:pPr>
          </w:p>
        </w:tc>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0"/>
                <w:szCs w:val="20"/>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ind w:firstLine="28"/>
              <w:jc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业绩案例</w:t>
            </w:r>
            <w:r>
              <w:rPr>
                <w:rFonts w:hint="eastAsia" w:ascii="宋体" w:hAnsi="宋体" w:eastAsia="宋体" w:cs="宋体"/>
                <w:color w:val="000000"/>
                <w:sz w:val="20"/>
                <w:szCs w:val="20"/>
              </w:rPr>
              <w:t>（</w:t>
            </w:r>
            <w:r>
              <w:rPr>
                <w:rFonts w:hint="eastAsia" w:ascii="宋体" w:hAnsi="宋体" w:cs="宋体"/>
                <w:color w:val="000000"/>
                <w:sz w:val="20"/>
                <w:szCs w:val="20"/>
                <w:lang w:val="en-US" w:eastAsia="zh-CN"/>
              </w:rPr>
              <w:t>10</w:t>
            </w:r>
            <w:r>
              <w:rPr>
                <w:rFonts w:hint="eastAsia" w:ascii="宋体" w:hAnsi="宋体" w:eastAsia="宋体" w:cs="宋体"/>
                <w:color w:val="000000"/>
                <w:sz w:val="20"/>
                <w:szCs w:val="20"/>
              </w:rPr>
              <w:t>分）</w:t>
            </w:r>
          </w:p>
        </w:tc>
        <w:tc>
          <w:tcPr>
            <w:tcW w:w="5376" w:type="dxa"/>
            <w:tcBorders>
              <w:top w:val="single" w:color="auto" w:sz="4" w:space="0"/>
              <w:left w:val="single" w:color="auto" w:sz="4" w:space="0"/>
              <w:bottom w:val="single" w:color="auto" w:sz="4" w:space="0"/>
              <w:right w:val="single" w:color="auto" w:sz="4" w:space="0"/>
            </w:tcBorders>
            <w:noWrap w:val="0"/>
            <w:vAlign w:val="center"/>
          </w:tcPr>
          <w:p>
            <w:pPr>
              <w:ind w:firstLine="28"/>
              <w:jc w:val="left"/>
              <w:rPr>
                <w:rFonts w:hint="eastAsia" w:ascii="宋体" w:hAnsi="宋体" w:eastAsia="宋体" w:cs="宋体"/>
                <w:color w:val="000000"/>
                <w:sz w:val="20"/>
                <w:szCs w:val="20"/>
              </w:rPr>
            </w:pPr>
            <w:r>
              <w:rPr>
                <w:rFonts w:hint="eastAsia" w:ascii="宋体" w:hAnsi="宋体" w:eastAsia="宋体" w:cs="宋体"/>
                <w:color w:val="000000"/>
                <w:sz w:val="20"/>
                <w:szCs w:val="20"/>
              </w:rPr>
              <w:t>所投产品自20</w:t>
            </w:r>
            <w:r>
              <w:rPr>
                <w:rFonts w:hint="eastAsia" w:ascii="宋体" w:hAnsi="宋体" w:eastAsia="宋体" w:cs="宋体"/>
                <w:color w:val="000000"/>
                <w:sz w:val="20"/>
                <w:szCs w:val="20"/>
                <w:lang w:val="en-US" w:eastAsia="zh-CN"/>
              </w:rPr>
              <w:t>20</w:t>
            </w:r>
            <w:r>
              <w:rPr>
                <w:rFonts w:hint="eastAsia" w:ascii="宋体" w:hAnsi="宋体" w:eastAsia="宋体" w:cs="宋体"/>
                <w:color w:val="000000"/>
                <w:sz w:val="20"/>
                <w:szCs w:val="20"/>
              </w:rPr>
              <w:t>年至今已完成的与本项目内容类似的业绩案例。每提供一项案例1分，最高得</w:t>
            </w:r>
            <w:r>
              <w:rPr>
                <w:rFonts w:hint="eastAsia" w:ascii="宋体" w:hAnsi="宋体" w:cs="宋体"/>
                <w:color w:val="000000"/>
                <w:sz w:val="20"/>
                <w:szCs w:val="20"/>
                <w:lang w:val="en-US" w:eastAsia="zh-CN"/>
              </w:rPr>
              <w:t>10</w:t>
            </w:r>
            <w:r>
              <w:rPr>
                <w:rFonts w:hint="eastAsia" w:ascii="宋体" w:hAnsi="宋体" w:eastAsia="宋体" w:cs="宋体"/>
                <w:color w:val="000000"/>
                <w:sz w:val="20"/>
                <w:szCs w:val="20"/>
              </w:rPr>
              <w:t>分。</w:t>
            </w:r>
          </w:p>
        </w:tc>
        <w:tc>
          <w:tcPr>
            <w:tcW w:w="1816" w:type="dxa"/>
            <w:vMerge w:val="restart"/>
            <w:tcBorders>
              <w:top w:val="nil"/>
              <w:left w:val="single" w:color="auto" w:sz="4" w:space="0"/>
              <w:bottom w:val="single" w:color="auto" w:sz="4" w:space="0"/>
              <w:right w:val="single" w:color="auto" w:sz="4" w:space="0"/>
            </w:tcBorders>
            <w:noWrap w:val="0"/>
            <w:vAlign w:val="center"/>
          </w:tcPr>
          <w:p>
            <w:pPr>
              <w:ind w:left="-38"/>
              <w:rPr>
                <w:rFonts w:hint="eastAsia"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0"/>
                <w:szCs w:val="20"/>
              </w:rPr>
            </w:pPr>
          </w:p>
        </w:tc>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0"/>
                <w:szCs w:val="20"/>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ind w:firstLine="28"/>
              <w:jc w:val="center"/>
              <w:rPr>
                <w:rFonts w:hint="eastAsia" w:ascii="宋体" w:hAnsi="宋体" w:eastAsia="宋体" w:cs="宋体"/>
                <w:color w:val="auto"/>
                <w:sz w:val="20"/>
                <w:szCs w:val="20"/>
              </w:rPr>
            </w:pPr>
            <w:r>
              <w:rPr>
                <w:rFonts w:hint="eastAsia" w:ascii="宋体" w:hAnsi="宋体" w:eastAsia="宋体" w:cs="宋体"/>
                <w:color w:val="auto"/>
                <w:sz w:val="20"/>
                <w:szCs w:val="20"/>
              </w:rPr>
              <w:t>服务方案（</w:t>
            </w:r>
            <w:r>
              <w:rPr>
                <w:rFonts w:hint="eastAsia" w:ascii="宋体" w:hAnsi="宋体" w:cs="宋体"/>
                <w:color w:val="auto"/>
                <w:sz w:val="20"/>
                <w:szCs w:val="20"/>
                <w:lang w:val="en-US" w:eastAsia="zh-CN"/>
              </w:rPr>
              <w:t>5</w:t>
            </w:r>
            <w:r>
              <w:rPr>
                <w:rFonts w:hint="eastAsia" w:ascii="宋体" w:hAnsi="宋体" w:eastAsia="宋体" w:cs="宋体"/>
                <w:color w:val="auto"/>
                <w:sz w:val="20"/>
                <w:szCs w:val="20"/>
              </w:rPr>
              <w:t>分）</w:t>
            </w:r>
          </w:p>
        </w:tc>
        <w:tc>
          <w:tcPr>
            <w:tcW w:w="5376"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 w:val="20"/>
                <w:szCs w:val="20"/>
              </w:rPr>
            </w:pPr>
            <w:r>
              <w:rPr>
                <w:rFonts w:hint="eastAsia" w:ascii="宋体" w:hAnsi="宋体" w:eastAsia="宋体" w:cs="宋体"/>
                <w:color w:val="auto"/>
                <w:sz w:val="20"/>
                <w:szCs w:val="20"/>
              </w:rPr>
              <w:t>投标供应商须针对本项目提供服务方案，服务方案包括但不限于：服务内容及服务目标、课程建设时间安排及进度保障方案、拟投入的设备设施方案等。服务方案完整、可实施性强、能够完全满足本项目需求的得</w:t>
            </w: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rPr>
              <w:t>分；</w:t>
            </w:r>
          </w:p>
          <w:p>
            <w:pPr>
              <w:ind w:firstLine="28"/>
              <w:jc w:val="left"/>
              <w:rPr>
                <w:rFonts w:hint="eastAsia" w:ascii="宋体" w:hAnsi="宋体" w:eastAsia="宋体" w:cs="宋体"/>
                <w:color w:val="auto"/>
                <w:sz w:val="20"/>
                <w:szCs w:val="20"/>
              </w:rPr>
            </w:pPr>
            <w:r>
              <w:rPr>
                <w:rFonts w:hint="eastAsia" w:ascii="宋体" w:hAnsi="宋体" w:eastAsia="宋体" w:cs="宋体"/>
                <w:color w:val="auto"/>
                <w:sz w:val="20"/>
                <w:szCs w:val="20"/>
              </w:rPr>
              <w:t>服务方案较完整、可实施性较强、能够基本满足本项目需求的得</w:t>
            </w:r>
            <w:r>
              <w:rPr>
                <w:rFonts w:hint="eastAsia" w:ascii="宋体" w:hAnsi="宋体" w:eastAsia="宋体" w:cs="宋体"/>
                <w:color w:val="auto"/>
                <w:sz w:val="20"/>
                <w:szCs w:val="20"/>
                <w:lang w:val="en-US" w:eastAsia="zh-CN"/>
              </w:rPr>
              <w:t>2</w:t>
            </w:r>
            <w:r>
              <w:rPr>
                <w:rFonts w:hint="eastAsia" w:ascii="宋体" w:hAnsi="宋体" w:eastAsia="宋体" w:cs="宋体"/>
                <w:color w:val="auto"/>
                <w:sz w:val="20"/>
                <w:szCs w:val="20"/>
              </w:rPr>
              <w:t>分；</w:t>
            </w:r>
          </w:p>
          <w:p>
            <w:pPr>
              <w:ind w:firstLine="28"/>
              <w:jc w:val="left"/>
              <w:rPr>
                <w:rFonts w:hint="eastAsia" w:ascii="宋体" w:hAnsi="宋体" w:eastAsia="宋体" w:cs="宋体"/>
                <w:color w:val="auto"/>
                <w:sz w:val="20"/>
                <w:szCs w:val="20"/>
              </w:rPr>
            </w:pPr>
            <w:r>
              <w:rPr>
                <w:rFonts w:hint="eastAsia" w:ascii="宋体" w:hAnsi="宋体" w:eastAsia="宋体" w:cs="宋体"/>
                <w:color w:val="auto"/>
                <w:sz w:val="20"/>
                <w:szCs w:val="20"/>
              </w:rPr>
              <w:t>服务方案不完整、可实施性不强、不能满足本项目需求的得1分。</w:t>
            </w:r>
          </w:p>
          <w:p>
            <w:pPr>
              <w:ind w:firstLine="28"/>
              <w:jc w:val="left"/>
              <w:rPr>
                <w:rFonts w:hint="eastAsia" w:ascii="宋体" w:hAnsi="宋体" w:eastAsia="宋体" w:cs="宋体"/>
                <w:color w:val="auto"/>
                <w:sz w:val="20"/>
                <w:szCs w:val="20"/>
              </w:rPr>
            </w:pPr>
            <w:r>
              <w:rPr>
                <w:rFonts w:hint="eastAsia" w:ascii="宋体" w:hAnsi="宋体" w:eastAsia="宋体" w:cs="宋体"/>
                <w:color w:val="auto"/>
                <w:sz w:val="20"/>
                <w:szCs w:val="20"/>
              </w:rPr>
              <w:t>不提供得0分</w:t>
            </w:r>
          </w:p>
        </w:tc>
        <w:tc>
          <w:tcPr>
            <w:tcW w:w="1816" w:type="dxa"/>
            <w:vMerge w:val="continue"/>
            <w:tcBorders>
              <w:top w:val="nil"/>
              <w:left w:val="single" w:color="auto" w:sz="4" w:space="0"/>
              <w:bottom w:val="single" w:color="auto" w:sz="4" w:space="0"/>
              <w:right w:val="single" w:color="auto" w:sz="4" w:space="0"/>
            </w:tcBorders>
            <w:noWrap w:val="0"/>
            <w:vAlign w:val="center"/>
          </w:tcPr>
          <w:p>
            <w:pPr>
              <w:autoSpaceDE w:val="0"/>
              <w:autoSpaceDN w:val="0"/>
              <w:adjustRightInd w:val="0"/>
              <w:snapToGrid w:val="0"/>
              <w:jc w:val="left"/>
              <w:rPr>
                <w:rFonts w:hint="eastAsia"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0"/>
                <w:szCs w:val="20"/>
              </w:rPr>
            </w:pPr>
          </w:p>
        </w:tc>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0"/>
                <w:szCs w:val="20"/>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ind w:firstLine="28"/>
              <w:jc w:val="left"/>
              <w:rPr>
                <w:rFonts w:hint="eastAsia" w:ascii="宋体" w:hAnsi="宋体" w:eastAsia="宋体" w:cs="宋体"/>
                <w:color w:val="000000"/>
                <w:sz w:val="20"/>
                <w:szCs w:val="20"/>
              </w:rPr>
            </w:pPr>
            <w:r>
              <w:rPr>
                <w:rFonts w:hint="eastAsia" w:ascii="宋体" w:hAnsi="宋体" w:eastAsia="宋体" w:cs="宋体"/>
                <w:color w:val="000000"/>
                <w:sz w:val="20"/>
                <w:szCs w:val="20"/>
              </w:rPr>
              <w:t>售后服务能力（</w:t>
            </w:r>
            <w:r>
              <w:rPr>
                <w:rFonts w:hint="eastAsia" w:ascii="宋体" w:hAnsi="宋体" w:cs="宋体"/>
                <w:color w:val="000000"/>
                <w:sz w:val="20"/>
                <w:szCs w:val="20"/>
                <w:lang w:val="en-US" w:eastAsia="zh-CN"/>
              </w:rPr>
              <w:t>5</w:t>
            </w:r>
            <w:r>
              <w:rPr>
                <w:rFonts w:hint="eastAsia" w:ascii="宋体" w:hAnsi="宋体" w:eastAsia="宋体" w:cs="宋体"/>
                <w:color w:val="000000"/>
                <w:sz w:val="20"/>
                <w:szCs w:val="20"/>
              </w:rPr>
              <w:t>分）</w:t>
            </w:r>
          </w:p>
        </w:tc>
        <w:tc>
          <w:tcPr>
            <w:tcW w:w="5376"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exact"/>
              <w:rPr>
                <w:rFonts w:hint="eastAsia" w:ascii="宋体" w:hAnsi="宋体" w:eastAsia="宋体" w:cs="宋体"/>
                <w:sz w:val="20"/>
                <w:szCs w:val="20"/>
              </w:rPr>
            </w:pPr>
            <w:r>
              <w:rPr>
                <w:rFonts w:hint="eastAsia" w:ascii="宋体" w:hAnsi="宋体" w:eastAsia="宋体" w:cs="宋体"/>
                <w:sz w:val="20"/>
                <w:szCs w:val="20"/>
              </w:rPr>
              <w:t>1、在渝具有服务机构得</w:t>
            </w:r>
            <w:r>
              <w:rPr>
                <w:rFonts w:hint="eastAsia" w:ascii="宋体" w:hAnsi="宋体" w:eastAsia="宋体" w:cs="宋体"/>
                <w:sz w:val="20"/>
                <w:szCs w:val="20"/>
                <w:lang w:val="en-US" w:eastAsia="zh-CN"/>
              </w:rPr>
              <w:t>2</w:t>
            </w:r>
            <w:r>
              <w:rPr>
                <w:rFonts w:hint="eastAsia" w:ascii="宋体" w:hAnsi="宋体" w:eastAsia="宋体" w:cs="宋体"/>
                <w:sz w:val="20"/>
                <w:szCs w:val="20"/>
              </w:rPr>
              <w:t>分。（提供售后服务机构营业执照复印件并加盖公章。）</w:t>
            </w:r>
          </w:p>
          <w:p>
            <w:pPr>
              <w:rPr>
                <w:rFonts w:hint="eastAsia" w:ascii="宋体" w:hAnsi="宋体" w:eastAsia="宋体" w:cs="宋体"/>
                <w:sz w:val="20"/>
                <w:szCs w:val="20"/>
              </w:rPr>
            </w:pPr>
            <w:r>
              <w:rPr>
                <w:rFonts w:hint="eastAsia" w:ascii="宋体" w:hAnsi="宋体" w:cs="宋体"/>
                <w:sz w:val="20"/>
                <w:szCs w:val="20"/>
                <w:lang w:val="en-US" w:eastAsia="zh-CN"/>
              </w:rPr>
              <w:t>2</w:t>
            </w:r>
            <w:r>
              <w:rPr>
                <w:rFonts w:hint="eastAsia" w:ascii="宋体" w:hAnsi="宋体" w:eastAsia="宋体" w:cs="宋体"/>
                <w:sz w:val="20"/>
                <w:szCs w:val="20"/>
              </w:rPr>
              <w:t>、服务机构及人员配置：</w:t>
            </w:r>
          </w:p>
          <w:p>
            <w:pPr>
              <w:ind w:firstLine="28"/>
              <w:jc w:val="left"/>
              <w:rPr>
                <w:rFonts w:hint="eastAsia" w:ascii="宋体" w:hAnsi="宋体" w:eastAsia="宋体" w:cs="宋体"/>
                <w:color w:val="000000"/>
                <w:sz w:val="20"/>
                <w:szCs w:val="20"/>
              </w:rPr>
            </w:pPr>
            <w:r>
              <w:rPr>
                <w:rFonts w:hint="eastAsia" w:ascii="宋体" w:hAnsi="宋体" w:eastAsia="宋体" w:cs="宋体"/>
                <w:sz w:val="20"/>
                <w:szCs w:val="20"/>
              </w:rPr>
              <w:t>项目服务团队中，具有教育学、现代教育技术学、广播电视编导、编导、动画或动漫设计创作等相关专业人员，提供15人及以上得</w:t>
            </w:r>
            <w:r>
              <w:rPr>
                <w:rFonts w:hint="eastAsia" w:ascii="宋体" w:hAnsi="宋体" w:cs="宋体"/>
                <w:sz w:val="20"/>
                <w:szCs w:val="20"/>
                <w:lang w:val="en-US" w:eastAsia="zh-CN"/>
              </w:rPr>
              <w:t>3</w:t>
            </w:r>
            <w:r>
              <w:rPr>
                <w:rFonts w:hint="eastAsia" w:ascii="宋体" w:hAnsi="宋体" w:eastAsia="宋体" w:cs="宋体"/>
                <w:sz w:val="20"/>
                <w:szCs w:val="20"/>
              </w:rPr>
              <w:t>分，10-14人得</w:t>
            </w:r>
            <w:r>
              <w:rPr>
                <w:rFonts w:hint="eastAsia" w:ascii="宋体" w:hAnsi="宋体" w:cs="宋体"/>
                <w:sz w:val="20"/>
                <w:szCs w:val="20"/>
                <w:lang w:val="en-US" w:eastAsia="zh-CN"/>
              </w:rPr>
              <w:t>2</w:t>
            </w:r>
            <w:r>
              <w:rPr>
                <w:rFonts w:hint="eastAsia" w:ascii="宋体" w:hAnsi="宋体" w:eastAsia="宋体" w:cs="宋体"/>
                <w:sz w:val="20"/>
                <w:szCs w:val="20"/>
              </w:rPr>
              <w:t>分，其他得1分，未提供或提供的材料不满足要求的，不得分。（提供人员名单、证书复印件及售后服务单位为其缴纳社保的复印件）。</w:t>
            </w:r>
          </w:p>
        </w:tc>
        <w:tc>
          <w:tcPr>
            <w:tcW w:w="18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0"/>
                <w:szCs w:val="20"/>
              </w:rPr>
            </w:pPr>
          </w:p>
        </w:tc>
      </w:tr>
    </w:tbl>
    <w:p>
      <w:pPr>
        <w:numPr>
          <w:ilvl w:val="0"/>
          <w:numId w:val="0"/>
        </w:numPr>
        <w:adjustRightInd w:val="0"/>
        <w:snapToGrid w:val="0"/>
        <w:spacing w:line="360" w:lineRule="auto"/>
        <w:rPr>
          <w:rFonts w:hint="eastAsia" w:ascii="宋体" w:hAnsi="宋体" w:eastAsia="宋体" w:cs="宋体"/>
          <w:color w:val="auto"/>
          <w:sz w:val="24"/>
          <w:szCs w:val="24"/>
          <w:highlight w:val="none"/>
        </w:rPr>
      </w:pPr>
    </w:p>
    <w:p>
      <w:pPr>
        <w:numPr>
          <w:ilvl w:val="0"/>
          <w:numId w:val="0"/>
        </w:num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说明：</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委员会认为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的报价明显低于其他通过符合性审查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的报价，有可能影响产品质量或者不能诚信履约的，应当要求其在</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现场合理的时间内提供书面说明，必要时提交相关证明材料；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不能证明其报价合理性的，</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委员会应当将其作为无效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处理。</w:t>
      </w:r>
    </w:p>
    <w:p>
      <w:pPr>
        <w:numPr>
          <w:ilvl w:val="0"/>
          <w:numId w:val="0"/>
        </w:numPr>
        <w:adjustRightInd w:val="0"/>
        <w:snapToGrid w:val="0"/>
        <w:spacing w:line="360" w:lineRule="auto"/>
        <w:rPr>
          <w:rFonts w:hint="eastAsia" w:ascii="宋体" w:hAnsi="宋体" w:eastAsia="宋体" w:cs="宋体"/>
          <w:b/>
          <w:color w:val="auto"/>
          <w:sz w:val="24"/>
          <w:szCs w:val="24"/>
          <w:highlight w:val="none"/>
        </w:rPr>
      </w:pPr>
    </w:p>
    <w:p>
      <w:pPr>
        <w:pStyle w:val="4"/>
        <w:spacing w:line="400" w:lineRule="exact"/>
        <w:ind w:firstLine="482" w:firstLineChars="200"/>
        <w:jc w:val="left"/>
        <w:rPr>
          <w:rFonts w:hint="eastAsia" w:ascii="宋体" w:hAnsi="宋体" w:eastAsia="宋体" w:cs="宋体"/>
          <w:color w:val="auto"/>
          <w:sz w:val="24"/>
          <w:szCs w:val="24"/>
          <w:highlight w:val="none"/>
        </w:rPr>
      </w:pPr>
      <w:bookmarkStart w:id="21" w:name="_Toc465084040"/>
      <w:bookmarkStart w:id="22" w:name="_Toc156196446"/>
      <w:bookmarkStart w:id="23" w:name="_Toc128229721"/>
      <w:bookmarkStart w:id="24" w:name="_Toc237057789"/>
      <w:bookmarkStart w:id="25" w:name="_Toc128229278"/>
      <w:bookmarkStart w:id="26" w:name="_Toc128014287"/>
      <w:r>
        <w:rPr>
          <w:rFonts w:hint="eastAsia" w:ascii="宋体" w:hAnsi="宋体" w:eastAsia="宋体" w:cs="宋体"/>
          <w:color w:val="auto"/>
          <w:sz w:val="24"/>
          <w:szCs w:val="24"/>
          <w:highlight w:val="none"/>
        </w:rPr>
        <w:t>三、无效投标条款</w:t>
      </w:r>
      <w:bookmarkEnd w:id="21"/>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供应商发生以下条款情况之一者，视为无效响应，其响应文件将被拒绝：</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（一）供应商不符合规定的资格条件的；</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（二）供应商的法定代表人（或其授权代表）或自然人未参加磋商；</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（三）供应商所提交的响应文件不按</w:t>
      </w:r>
      <w:r>
        <w:rPr>
          <w:rFonts w:hint="eastAsia" w:ascii="宋体" w:hAnsi="宋体" w:cs="宋体"/>
          <w:color w:val="auto"/>
          <w:sz w:val="24"/>
          <w:szCs w:val="24"/>
          <w:highlight w:val="none"/>
          <w:lang w:eastAsia="zh-CN"/>
        </w:rPr>
        <w:t>项目磋商文件</w:t>
      </w:r>
      <w:r>
        <w:rPr>
          <w:rFonts w:hint="eastAsia" w:ascii="宋体" w:hAnsi="宋体" w:eastAsia="宋体" w:cs="宋体"/>
          <w:color w:val="auto"/>
          <w:sz w:val="24"/>
          <w:szCs w:val="24"/>
          <w:highlight w:val="none"/>
        </w:rPr>
        <w:t>要求签署或盖章；</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（四）供应商的最后报价超过最高限价的；</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（五）法定代表人为同一个人的两个及两个以上法人，母公司、全资子公司及其控股公司，在同一包采购中同时参与磋商；</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（六）单位负责人为同一人或者存在直接控股、管理关系的不同供应商，参加同一合同项下的采购活动的；</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（七）为采购项目提供整体设计、规范编制或者项目管理、监理、检测等服务的供应商，再参加该采购项目的其他采购活动；</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（八）供应商磋商有效期不满足竞争性磋商文件要求的；</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（九）供应商响应文件内容有与国家现行法律法规相违背的内容，或附有采购人无法接受的条件；</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（十）法律、法规和竞争性磋商文件规定的其他无效情形。</w:t>
      </w:r>
    </w:p>
    <w:p>
      <w:pPr>
        <w:snapToGrid w:val="0"/>
        <w:spacing w:line="400" w:lineRule="exact"/>
        <w:ind w:firstLine="480" w:firstLineChars="200"/>
        <w:rPr>
          <w:rFonts w:hint="eastAsia" w:ascii="宋体" w:hAnsi="宋体" w:eastAsia="宋体" w:cs="宋体"/>
          <w:color w:val="auto"/>
          <w:sz w:val="24"/>
          <w:szCs w:val="24"/>
          <w:highlight w:val="none"/>
        </w:rPr>
      </w:pPr>
    </w:p>
    <w:p>
      <w:pPr>
        <w:pStyle w:val="4"/>
        <w:spacing w:line="400" w:lineRule="exact"/>
        <w:ind w:firstLine="482" w:firstLineChars="200"/>
        <w:jc w:val="both"/>
        <w:rPr>
          <w:rFonts w:hint="eastAsia" w:ascii="宋体" w:hAnsi="宋体" w:eastAsia="宋体" w:cs="宋体"/>
          <w:color w:val="auto"/>
          <w:sz w:val="24"/>
          <w:szCs w:val="24"/>
          <w:highlight w:val="none"/>
        </w:rPr>
      </w:pPr>
      <w:bookmarkStart w:id="27" w:name="_Toc465084041"/>
      <w:r>
        <w:rPr>
          <w:rFonts w:hint="eastAsia" w:ascii="宋体" w:hAnsi="宋体" w:eastAsia="宋体" w:cs="宋体"/>
          <w:color w:val="auto"/>
          <w:sz w:val="24"/>
          <w:szCs w:val="24"/>
          <w:highlight w:val="none"/>
        </w:rPr>
        <w:t>四、</w:t>
      </w:r>
      <w:bookmarkEnd w:id="27"/>
      <w:r>
        <w:rPr>
          <w:rFonts w:hint="eastAsia" w:ascii="宋体" w:hAnsi="宋体" w:eastAsia="宋体" w:cs="宋体"/>
          <w:b/>
          <w:color w:val="auto"/>
          <w:sz w:val="24"/>
          <w:szCs w:val="24"/>
          <w:highlight w:val="none"/>
        </w:rPr>
        <w:t>采购终止</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出现下列情形之一的，采购人应当终止竞争性磋商采购活动，发布项目终止公告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重新开展采购活动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采购任务取消情形</w:t>
      </w:r>
      <w:r>
        <w:rPr>
          <w:rFonts w:hint="eastAsia" w:ascii="宋体" w:hAnsi="宋体" w:eastAsia="宋体" w:cs="宋体"/>
          <w:color w:val="auto"/>
          <w:sz w:val="24"/>
          <w:szCs w:val="24"/>
          <w:highlight w:val="none"/>
          <w:lang w:eastAsia="zh-CN"/>
        </w:rPr>
        <w:t>除</w:t>
      </w:r>
      <w:r>
        <w:rPr>
          <w:rFonts w:hint="eastAsia" w:ascii="宋体" w:hAnsi="宋体" w:eastAsia="宋体" w:cs="宋体"/>
          <w:color w:val="auto"/>
          <w:sz w:val="24"/>
          <w:szCs w:val="24"/>
          <w:highlight w:val="none"/>
        </w:rPr>
        <w:t>外：</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（一）因情况变化，不再符合规定的竞争性磋商采购方式适用情形的；</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（三）在采购过程中符合要求的供应商或者报价未超过采购预算的供应商不足3家的，但《政府采购竞争性磋商采购方式管理暂行办法》第二十一条第三款规定的情形除外。</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（四）因重大变故，采购任务取消的。</w:t>
      </w:r>
    </w:p>
    <w:p>
      <w:pPr>
        <w:pStyle w:val="24"/>
        <w:rPr>
          <w:rFonts w:hint="eastAsia"/>
          <w:color w:val="auto"/>
          <w:highlight w:val="none"/>
        </w:rPr>
      </w:pPr>
    </w:p>
    <w:p>
      <w:pPr>
        <w:rPr>
          <w:rFonts w:hint="eastAsia"/>
          <w:color w:val="auto"/>
          <w:highlight w:val="none"/>
        </w:rPr>
      </w:pPr>
    </w:p>
    <w:p>
      <w:pPr>
        <w:pStyle w:val="2"/>
        <w:rPr>
          <w:rFonts w:hint="eastAsia"/>
          <w:color w:val="auto"/>
          <w:highlight w:val="none"/>
        </w:rPr>
      </w:pPr>
    </w:p>
    <w:p>
      <w:pPr>
        <w:adjustRightInd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w:t>
      </w:r>
      <w:r>
        <w:rPr>
          <w:rFonts w:hint="eastAsia" w:ascii="宋体" w:hAnsi="宋体" w:cs="宋体"/>
          <w:b/>
          <w:color w:val="auto"/>
          <w:sz w:val="28"/>
          <w:szCs w:val="28"/>
          <w:highlight w:val="none"/>
          <w:lang w:eastAsia="zh-CN"/>
        </w:rPr>
        <w:t>五</w:t>
      </w:r>
      <w:r>
        <w:rPr>
          <w:rFonts w:hint="eastAsia" w:ascii="宋体" w:hAnsi="宋体" w:eastAsia="宋体" w:cs="宋体"/>
          <w:b/>
          <w:color w:val="auto"/>
          <w:sz w:val="28"/>
          <w:szCs w:val="28"/>
          <w:highlight w:val="none"/>
        </w:rPr>
        <w:t>篇、响应文件要求</w:t>
      </w:r>
    </w:p>
    <w:p>
      <w:pPr>
        <w:adjustRightInd w:val="0"/>
        <w:snapToGrid w:val="0"/>
        <w:spacing w:line="360" w:lineRule="auto"/>
        <w:ind w:firstLine="482" w:firstLineChars="2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投标文件由下列材料组成，请按顺序将投标文件装订成册。</w:t>
      </w:r>
      <w:r>
        <w:rPr>
          <w:rFonts w:hint="eastAsia" w:ascii="宋体" w:hAnsi="宋体" w:cs="宋体"/>
          <w:b/>
          <w:bCs/>
          <w:color w:val="auto"/>
          <w:sz w:val="24"/>
          <w:highlight w:val="none"/>
          <w:lang w:eastAsia="zh-CN"/>
        </w:rPr>
        <w:t>（应编制目录页码）</w:t>
      </w:r>
    </w:p>
    <w:p>
      <w:pPr>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封面</w:t>
      </w:r>
    </w:p>
    <w:p>
      <w:pPr>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（二）投标书</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）法定代表人身份证明</w:t>
      </w:r>
    </w:p>
    <w:p>
      <w:pPr>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四</w:t>
      </w:r>
      <w:r>
        <w:rPr>
          <w:rFonts w:hint="eastAsia" w:ascii="宋体" w:hAnsi="宋体" w:eastAsia="宋体" w:cs="宋体"/>
          <w:color w:val="auto"/>
          <w:sz w:val="24"/>
          <w:highlight w:val="none"/>
        </w:rPr>
        <w:t>）法定代表人授权委托书</w:t>
      </w:r>
      <w:r>
        <w:rPr>
          <w:rFonts w:hint="eastAsia" w:ascii="宋体" w:hAnsi="宋体" w:cs="宋体"/>
          <w:color w:val="auto"/>
          <w:sz w:val="24"/>
          <w:highlight w:val="none"/>
          <w:lang w:eastAsia="zh-CN"/>
        </w:rPr>
        <w:t>（即</w:t>
      </w:r>
      <w:r>
        <w:rPr>
          <w:rFonts w:hint="eastAsia" w:ascii="宋体" w:hAnsi="宋体" w:eastAsia="宋体" w:cs="宋体"/>
          <w:color w:val="auto"/>
          <w:sz w:val="24"/>
          <w:highlight w:val="none"/>
        </w:rPr>
        <w:t>被委托人身份证证明</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w:t>
      </w:r>
    </w:p>
    <w:p>
      <w:pPr>
        <w:adjustRightInd w:val="0"/>
        <w:snapToGrid w:val="0"/>
        <w:spacing w:line="360" w:lineRule="auto"/>
        <w:ind w:firstLine="420" w:firstLineChars="200"/>
        <w:rPr>
          <w:rFonts w:hint="eastAsia" w:ascii="宋体" w:hAnsi="宋体" w:cs="宋体"/>
          <w:color w:val="auto"/>
          <w:sz w:val="24"/>
          <w:highlight w:val="none"/>
          <w:lang w:val="en-US" w:eastAsia="zh-CN"/>
        </w:rPr>
      </w:pPr>
      <w:r>
        <w:rPr>
          <w:rFonts w:hint="eastAsia"/>
          <w:color w:val="auto"/>
          <w:highlight w:val="non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五）</w:t>
      </w:r>
      <w:r>
        <w:rPr>
          <w:rFonts w:hint="eastAsia" w:ascii="宋体" w:hAnsi="宋体" w:cs="宋体"/>
          <w:color w:val="auto"/>
          <w:sz w:val="24"/>
          <w:highlight w:val="none"/>
          <w:lang w:val="en-US" w:eastAsia="zh-CN"/>
        </w:rPr>
        <w:t>报价函</w:t>
      </w:r>
    </w:p>
    <w:p>
      <w:pPr>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（六）</w:t>
      </w:r>
      <w:r>
        <w:rPr>
          <w:rFonts w:hint="eastAsia" w:ascii="宋体" w:hAnsi="宋体" w:cs="宋体"/>
          <w:color w:val="auto"/>
          <w:sz w:val="24"/>
          <w:highlight w:val="none"/>
          <w:lang w:eastAsia="zh-CN"/>
        </w:rPr>
        <w:t>项目分项报价</w:t>
      </w:r>
      <w:r>
        <w:rPr>
          <w:rFonts w:hint="eastAsia" w:ascii="宋体" w:hAnsi="宋体" w:eastAsia="宋体" w:cs="宋体"/>
          <w:color w:val="auto"/>
          <w:sz w:val="24"/>
          <w:highlight w:val="none"/>
        </w:rPr>
        <w:t>清单</w:t>
      </w:r>
      <w:r>
        <w:rPr>
          <w:rFonts w:hint="eastAsia" w:ascii="宋体" w:hAnsi="宋体" w:cs="宋体"/>
          <w:color w:val="auto"/>
          <w:sz w:val="24"/>
          <w:highlight w:val="none"/>
          <w:lang w:eastAsia="zh-CN"/>
        </w:rPr>
        <w:t>（自拟）</w:t>
      </w:r>
    </w:p>
    <w:p>
      <w:pPr>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（七）项目响应偏离表</w:t>
      </w:r>
      <w:r>
        <w:rPr>
          <w:rFonts w:hint="eastAsia" w:ascii="宋体" w:hAnsi="宋体" w:cs="宋体"/>
          <w:color w:val="auto"/>
          <w:sz w:val="24"/>
          <w:highlight w:val="none"/>
          <w:lang w:eastAsia="zh-CN"/>
        </w:rPr>
        <w:t>（针对第二篇、第三篇）</w:t>
      </w:r>
    </w:p>
    <w:p>
      <w:pPr>
        <w:adjustRightInd w:val="0"/>
        <w:snapToGrid w:val="0"/>
        <w:spacing w:line="360" w:lineRule="auto"/>
        <w:ind w:firstLine="480" w:firstLineChars="200"/>
        <w:rPr>
          <w:rFonts w:hint="eastAsia" w:ascii="宋体" w:hAnsi="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eastAsia="zh-CN"/>
        </w:rPr>
        <w:t>八</w:t>
      </w:r>
      <w:r>
        <w:rPr>
          <w:rFonts w:hint="eastAsia" w:ascii="宋体" w:hAnsi="宋体" w:eastAsia="宋体" w:cs="宋体"/>
          <w:color w:val="auto"/>
          <w:sz w:val="24"/>
          <w:highlight w:val="none"/>
          <w:lang w:eastAsia="zh-CN"/>
        </w:rPr>
        <w:t>）项目响应</w:t>
      </w:r>
      <w:r>
        <w:rPr>
          <w:rFonts w:hint="eastAsia" w:ascii="宋体" w:hAnsi="宋体" w:cs="宋体"/>
          <w:color w:val="auto"/>
          <w:sz w:val="24"/>
          <w:highlight w:val="none"/>
          <w:lang w:eastAsia="zh-CN"/>
        </w:rPr>
        <w:t>材料，结合项目评审标准，</w:t>
      </w:r>
      <w:r>
        <w:rPr>
          <w:rFonts w:hint="eastAsia" w:ascii="宋体" w:hAnsi="宋体" w:cs="宋体"/>
          <w:color w:val="auto"/>
          <w:sz w:val="24"/>
          <w:highlight w:val="none"/>
          <w:lang w:val="en-US" w:eastAsia="zh-CN"/>
        </w:rPr>
        <w:t xml:space="preserve"> 准备</w:t>
      </w:r>
      <w:r>
        <w:rPr>
          <w:rFonts w:hint="eastAsia" w:ascii="宋体" w:hAnsi="宋体" w:cs="宋体"/>
          <w:color w:val="auto"/>
          <w:sz w:val="24"/>
          <w:highlight w:val="none"/>
          <w:lang w:eastAsia="zh-CN"/>
        </w:rPr>
        <w:t>相关支撑说明材料，投标单位自拟</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九</w:t>
      </w:r>
      <w:r>
        <w:rPr>
          <w:rFonts w:hint="eastAsia" w:ascii="宋体" w:hAnsi="宋体" w:eastAsia="宋体" w:cs="宋体"/>
          <w:color w:val="auto"/>
          <w:sz w:val="24"/>
          <w:highlight w:val="none"/>
        </w:rPr>
        <w:t>）资质：</w:t>
      </w:r>
    </w:p>
    <w:p>
      <w:pPr>
        <w:adjustRightInd w:val="0"/>
        <w:snapToGrid w:val="0"/>
        <w:spacing w:line="360" w:lineRule="auto"/>
        <w:ind w:left="539" w:leftChars="228" w:hanging="60" w:hangingChars="2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投标公司资质</w:t>
      </w:r>
    </w:p>
    <w:p>
      <w:pPr>
        <w:adjustRightInd w:val="0"/>
        <w:snapToGrid w:val="0"/>
        <w:spacing w:line="360" w:lineRule="auto"/>
        <w:ind w:left="539" w:leftChars="228" w:hanging="60" w:hangingChars="2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一般资格证明材料</w:t>
      </w:r>
    </w:p>
    <w:p>
      <w:pPr>
        <w:adjustRightInd w:val="0"/>
        <w:snapToGrid w:val="0"/>
        <w:spacing w:line="360" w:lineRule="auto"/>
        <w:ind w:left="540" w:leftChars="257"/>
        <w:rPr>
          <w:rFonts w:hint="eastAsia" w:ascii="宋体" w:hAnsi="宋体" w:eastAsia="宋体" w:cs="宋体"/>
          <w:color w:val="auto"/>
          <w:sz w:val="24"/>
          <w:highlight w:val="none"/>
        </w:rPr>
      </w:pPr>
      <w:r>
        <w:rPr>
          <w:rFonts w:hint="eastAsia" w:ascii="宋体" w:hAnsi="宋体" w:eastAsia="宋体" w:cs="宋体"/>
          <w:color w:val="auto"/>
          <w:sz w:val="24"/>
          <w:highlight w:val="none"/>
        </w:rPr>
        <w:t>a.营业执照副本（有效证件）</w:t>
      </w:r>
    </w:p>
    <w:p>
      <w:pPr>
        <w:adjustRightInd w:val="0"/>
        <w:snapToGrid w:val="0"/>
        <w:spacing w:line="360" w:lineRule="auto"/>
        <w:ind w:left="540" w:leftChars="257"/>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b</w:t>
      </w:r>
      <w:r>
        <w:rPr>
          <w:rFonts w:hint="eastAsia" w:ascii="宋体" w:hAnsi="宋体" w:eastAsia="宋体" w:cs="宋体"/>
          <w:color w:val="auto"/>
          <w:sz w:val="24"/>
          <w:highlight w:val="none"/>
        </w:rPr>
        <w:t>.财务状况证明，可提供近一年单位审计报告</w:t>
      </w:r>
    </w:p>
    <w:p>
      <w:pPr>
        <w:adjustRightInd w:val="0"/>
        <w:snapToGrid w:val="0"/>
        <w:spacing w:line="360" w:lineRule="auto"/>
        <w:ind w:left="540" w:leftChars="257"/>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c</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书面声明附两网站查询截图。</w:t>
      </w:r>
    </w:p>
    <w:p>
      <w:pPr>
        <w:adjustRightInd w:val="0"/>
        <w:snapToGrid w:val="0"/>
        <w:spacing w:line="360" w:lineRule="auto"/>
        <w:ind w:left="540" w:leftChars="257"/>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特定资格证明材料：</w:t>
      </w:r>
    </w:p>
    <w:p>
      <w:pPr>
        <w:adjustRightInd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a.</w:t>
      </w:r>
      <w:r>
        <w:rPr>
          <w:rFonts w:hint="eastAsia" w:ascii="宋体" w:hAnsi="宋体" w:cs="宋体"/>
          <w:color w:val="auto"/>
          <w:sz w:val="24"/>
          <w:highlight w:val="none"/>
          <w:lang w:eastAsia="zh-CN"/>
        </w:rPr>
        <w:t>按照项目特定资格要求，提供证明材料</w:t>
      </w:r>
      <w:r>
        <w:rPr>
          <w:rFonts w:hint="eastAsia" w:ascii="宋体" w:hAnsi="宋体" w:eastAsia="宋体" w:cs="宋体"/>
          <w:color w:val="auto"/>
          <w:sz w:val="24"/>
          <w:highlight w:val="none"/>
          <w:lang w:val="en-US" w:eastAsia="zh-CN"/>
        </w:rPr>
        <w:t>。</w:t>
      </w:r>
    </w:p>
    <w:p>
      <w:pPr>
        <w:adjustRightInd w:val="0"/>
        <w:snapToGrid w:val="0"/>
        <w:spacing w:line="360" w:lineRule="auto"/>
        <w:ind w:left="540" w:leftChars="25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（3）拟投入项目成员</w:t>
      </w:r>
      <w:r>
        <w:rPr>
          <w:rFonts w:hint="eastAsia" w:ascii="宋体" w:hAnsi="宋体" w:cs="宋体"/>
          <w:color w:val="auto"/>
          <w:sz w:val="24"/>
          <w:highlight w:val="none"/>
          <w:lang w:val="en-US" w:eastAsia="zh-CN"/>
        </w:rPr>
        <w:t>及资质</w:t>
      </w:r>
      <w:r>
        <w:rPr>
          <w:rFonts w:hint="eastAsia" w:ascii="宋体" w:hAnsi="宋体" w:eastAsia="宋体" w:cs="宋体"/>
          <w:color w:val="auto"/>
          <w:sz w:val="24"/>
          <w:highlight w:val="none"/>
          <w:lang w:val="en-US" w:eastAsia="zh-CN"/>
        </w:rPr>
        <w:t>证明材料</w:t>
      </w:r>
    </w:p>
    <w:p>
      <w:pPr>
        <w:adjustRightInd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a.拟投入项目成员清单、简历</w:t>
      </w:r>
    </w:p>
    <w:p>
      <w:pPr>
        <w:adjustRightInd w:val="0"/>
        <w:snapToGrid w:val="0"/>
        <w:spacing w:line="360" w:lineRule="auto"/>
        <w:ind w:firstLine="480" w:firstLineChars="200"/>
        <w:rPr>
          <w:rFonts w:hint="default" w:ascii="宋体" w:hAnsi="宋体" w:eastAsia="宋体" w:cs="宋体"/>
          <w:strike/>
          <w:dstrike w:val="0"/>
          <w:color w:val="auto"/>
          <w:sz w:val="24"/>
          <w:highlight w:val="none"/>
          <w:lang w:val="en-US" w:eastAsia="zh-CN"/>
        </w:rPr>
      </w:pPr>
      <w:r>
        <w:rPr>
          <w:rFonts w:hint="eastAsia" w:ascii="宋体" w:hAnsi="宋体" w:eastAsia="宋体" w:cs="宋体"/>
          <w:color w:val="auto"/>
          <w:sz w:val="24"/>
          <w:highlight w:val="none"/>
          <w:lang w:val="en-US" w:eastAsia="zh-CN"/>
        </w:rPr>
        <w:t>b.</w:t>
      </w:r>
      <w:r>
        <w:rPr>
          <w:rFonts w:hint="eastAsia" w:ascii="宋体" w:hAnsi="宋体" w:cs="宋体"/>
          <w:color w:val="auto"/>
          <w:sz w:val="24"/>
          <w:highlight w:val="none"/>
          <w:lang w:val="en-US" w:eastAsia="zh-CN"/>
        </w:rPr>
        <w:t>按照评审标准中要求，提供证明材料。</w:t>
      </w:r>
    </w:p>
    <w:p>
      <w:pPr>
        <w:rPr>
          <w:rFonts w:hint="eastAsia"/>
          <w:color w:val="auto"/>
          <w:highlight w:val="none"/>
          <w:lang w:val="en-US" w:eastAsia="zh-CN"/>
        </w:rPr>
      </w:pPr>
    </w:p>
    <w:p>
      <w:pPr>
        <w:adjustRightInd w:val="0"/>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二、</w:t>
      </w:r>
      <w:r>
        <w:rPr>
          <w:rFonts w:hint="eastAsia" w:ascii="宋体" w:hAnsi="宋体" w:eastAsia="宋体" w:cs="宋体"/>
          <w:b/>
          <w:bCs/>
          <w:color w:val="auto"/>
          <w:sz w:val="24"/>
          <w:highlight w:val="none"/>
        </w:rPr>
        <w:t>投标文件的格式及其签署</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rPr>
        <w:t>）投标人的投标文件应清晰的标有“正本”、“副本”，一旦正本与副本不符，以正本为准。</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所有投标文件统一用A4纸</w:t>
      </w:r>
      <w:r>
        <w:rPr>
          <w:rFonts w:hint="eastAsia" w:ascii="宋体" w:hAnsi="宋体" w:cs="宋体"/>
          <w:color w:val="auto"/>
          <w:sz w:val="24"/>
          <w:highlight w:val="none"/>
          <w:lang w:eastAsia="zh-CN"/>
        </w:rPr>
        <w:t>，并装订成册</w:t>
      </w:r>
      <w:r>
        <w:rPr>
          <w:rFonts w:hint="eastAsia" w:ascii="宋体" w:hAnsi="宋体" w:eastAsia="宋体" w:cs="宋体"/>
          <w:color w:val="auto"/>
          <w:sz w:val="24"/>
          <w:highlight w:val="none"/>
        </w:rPr>
        <w:t>。填写的内容必须打印或使用不褪色的蓝、黑墨水笔书写，字迹应清晰易于辨认。</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）投标文件的封面及投标书均</w:t>
      </w:r>
      <w:r>
        <w:rPr>
          <w:rFonts w:hint="eastAsia" w:ascii="宋体" w:hAnsi="宋体" w:cs="宋体"/>
          <w:color w:val="auto"/>
          <w:sz w:val="24"/>
          <w:highlight w:val="none"/>
          <w:lang w:eastAsia="zh-CN"/>
        </w:rPr>
        <w:t>须每页</w:t>
      </w:r>
      <w:r>
        <w:rPr>
          <w:rFonts w:hint="eastAsia" w:ascii="宋体" w:hAnsi="宋体" w:eastAsia="宋体" w:cs="宋体"/>
          <w:color w:val="auto"/>
          <w:sz w:val="24"/>
          <w:highlight w:val="none"/>
        </w:rPr>
        <w:t>加盖投标人公章，</w:t>
      </w:r>
      <w:r>
        <w:rPr>
          <w:rFonts w:hint="eastAsia" w:ascii="宋体" w:hAnsi="宋体" w:cs="宋体"/>
          <w:color w:val="auto"/>
          <w:sz w:val="24"/>
          <w:highlight w:val="none"/>
          <w:lang w:eastAsia="zh-CN"/>
        </w:rPr>
        <w:t>签字处须</w:t>
      </w:r>
      <w:r>
        <w:rPr>
          <w:rFonts w:hint="eastAsia" w:ascii="宋体" w:hAnsi="宋体" w:eastAsia="宋体" w:cs="宋体"/>
          <w:color w:val="auto"/>
          <w:sz w:val="24"/>
          <w:highlight w:val="none"/>
        </w:rPr>
        <w:t>经法定代表人或其委托代理人签字</w:t>
      </w:r>
      <w:r>
        <w:rPr>
          <w:rFonts w:hint="eastAsia" w:ascii="宋体" w:hAnsi="宋体" w:cs="宋体"/>
          <w:color w:val="auto"/>
          <w:sz w:val="24"/>
          <w:highlight w:val="none"/>
          <w:lang w:eastAsia="zh-CN"/>
        </w:rPr>
        <w:t>或用印</w:t>
      </w:r>
      <w:r>
        <w:rPr>
          <w:rFonts w:hint="eastAsia" w:ascii="宋体" w:hAnsi="宋体" w:eastAsia="宋体" w:cs="宋体"/>
          <w:color w:val="auto"/>
          <w:sz w:val="24"/>
          <w:highlight w:val="none"/>
        </w:rPr>
        <w:t>，否则，其投标文件无效。</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四</w:t>
      </w:r>
      <w:r>
        <w:rPr>
          <w:rFonts w:hint="eastAsia" w:ascii="宋体" w:hAnsi="宋体" w:eastAsia="宋体" w:cs="宋体"/>
          <w:color w:val="auto"/>
          <w:sz w:val="24"/>
          <w:highlight w:val="none"/>
        </w:rPr>
        <w:t>）投标文件上不应有行间插字、涂改和覆盖，除非是对投标人写错的地方做必要的修改，此时，签署投标文件的人应在修改处小签。</w:t>
      </w:r>
    </w:p>
    <w:p>
      <w:pPr>
        <w:adjustRightInd w:val="0"/>
        <w:snapToGrid w:val="0"/>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三、投标文件的密封</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投标文件应装袋密封，在封口上加盖企业公章。并标明邀标项目名称、投标人名称</w:t>
      </w:r>
      <w:r>
        <w:rPr>
          <w:rFonts w:hint="eastAsia" w:ascii="宋体" w:hAnsi="宋体" w:cs="宋体"/>
          <w:color w:val="auto"/>
          <w:sz w:val="24"/>
          <w:highlight w:val="none"/>
          <w:lang w:eastAsia="zh-CN"/>
        </w:rPr>
        <w:t>等信息</w:t>
      </w:r>
      <w:r>
        <w:rPr>
          <w:rFonts w:hint="eastAsia" w:ascii="宋体" w:hAnsi="宋体" w:eastAsia="宋体" w:cs="宋体"/>
          <w:color w:val="auto"/>
          <w:sz w:val="24"/>
          <w:highlight w:val="none"/>
        </w:rPr>
        <w:t>。</w:t>
      </w:r>
    </w:p>
    <w:p>
      <w:pPr>
        <w:adjustRightInd w:val="0"/>
        <w:snapToGrid w:val="0"/>
        <w:spacing w:line="360" w:lineRule="auto"/>
        <w:ind w:firstLine="360" w:firstLineChars="15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rPr>
        <w:t>）投标文件份数：正本一份、副本三份</w:t>
      </w:r>
      <w:r>
        <w:rPr>
          <w:rFonts w:hint="eastAsia" w:ascii="宋体" w:hAnsi="宋体" w:eastAsia="宋体" w:cs="宋体"/>
          <w:color w:val="auto"/>
          <w:sz w:val="24"/>
          <w:highlight w:val="none"/>
          <w:lang w:eastAsia="zh-CN"/>
        </w:rPr>
        <w:t>。</w:t>
      </w:r>
    </w:p>
    <w:p>
      <w:pPr>
        <w:adjustRightInd w:val="0"/>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如果投标文件没有按规定密封，该投标文件将被拒绝接收，并原样退还给投标人。</w:t>
      </w:r>
    </w:p>
    <w:p>
      <w:pPr>
        <w:adjustRightInd w:val="0"/>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投标人无论是否中标，投标人递交的投标文件均不退还。</w:t>
      </w:r>
    </w:p>
    <w:p>
      <w:pPr>
        <w:pStyle w:val="18"/>
        <w:ind w:left="0" w:leftChars="0" w:firstLine="0" w:firstLineChars="0"/>
        <w:rPr>
          <w:rFonts w:hint="eastAsia" w:ascii="宋体" w:hAnsi="宋体" w:eastAsia="宋体" w:cs="宋体"/>
          <w:b/>
          <w:color w:val="auto"/>
          <w:szCs w:val="21"/>
          <w:highlight w:val="none"/>
        </w:rPr>
      </w:pPr>
    </w:p>
    <w:p>
      <w:pPr>
        <w:autoSpaceDE w:val="0"/>
        <w:autoSpaceDN w:val="0"/>
        <w:adjustRightInd w:val="0"/>
        <w:snapToGrid w:val="0"/>
        <w:spacing w:line="360" w:lineRule="auto"/>
        <w:ind w:firstLine="281" w:firstLineChars="1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w:t>
      </w:r>
      <w:r>
        <w:rPr>
          <w:rFonts w:hint="eastAsia" w:ascii="宋体" w:hAnsi="宋体" w:cs="宋体"/>
          <w:b/>
          <w:color w:val="auto"/>
          <w:sz w:val="28"/>
          <w:szCs w:val="28"/>
          <w:highlight w:val="none"/>
          <w:lang w:eastAsia="zh-CN"/>
        </w:rPr>
        <w:t>六</w:t>
      </w:r>
      <w:r>
        <w:rPr>
          <w:rFonts w:hint="eastAsia" w:ascii="宋体" w:hAnsi="宋体" w:eastAsia="宋体" w:cs="宋体"/>
          <w:b/>
          <w:color w:val="auto"/>
          <w:sz w:val="28"/>
          <w:szCs w:val="28"/>
          <w:highlight w:val="none"/>
        </w:rPr>
        <w:t>篇、响应文件格式</w:t>
      </w:r>
      <w:bookmarkStart w:id="28" w:name="_Toc31912"/>
      <w:bookmarkStart w:id="29" w:name="_Toc313008356"/>
      <w:bookmarkStart w:id="30" w:name="_Toc283382454"/>
      <w:bookmarkStart w:id="31" w:name="_Toc342913419"/>
      <w:bookmarkStart w:id="32" w:name="_Toc313888360"/>
      <w:bookmarkStart w:id="33" w:name="_Toc12789073"/>
    </w:p>
    <w:bookmarkEnd w:id="22"/>
    <w:bookmarkEnd w:id="23"/>
    <w:bookmarkEnd w:id="24"/>
    <w:bookmarkEnd w:id="25"/>
    <w:bookmarkEnd w:id="26"/>
    <w:bookmarkEnd w:id="28"/>
    <w:bookmarkEnd w:id="29"/>
    <w:bookmarkEnd w:id="30"/>
    <w:bookmarkEnd w:id="31"/>
    <w:bookmarkEnd w:id="32"/>
    <w:bookmarkEnd w:id="33"/>
    <w:p>
      <w:pPr>
        <w:numPr>
          <w:ilvl w:val="0"/>
          <w:numId w:val="2"/>
        </w:numPr>
        <w:autoSpaceDE w:val="0"/>
        <w:autoSpaceDN w:val="0"/>
        <w:adjustRightInd w:val="0"/>
        <w:snapToGrid w:val="0"/>
        <w:spacing w:line="360" w:lineRule="auto"/>
        <w:jc w:val="center"/>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项目投标书（封面）</w:t>
      </w: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投标项目名称：                           </w:t>
      </w: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项目编号：                      </w:t>
      </w: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投标单位：（盖章）</w:t>
      </w: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法定代表人：（签章）</w:t>
      </w: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地址：</w:t>
      </w: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电话：                              邮编：</w:t>
      </w: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联系人：</w:t>
      </w: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授权代表人： （盖章）</w:t>
      </w:r>
    </w:p>
    <w:p>
      <w:pPr>
        <w:autoSpaceDE w:val="0"/>
        <w:autoSpaceDN w:val="0"/>
        <w:adjustRightInd w:val="0"/>
        <w:snapToGrid w:val="0"/>
        <w:spacing w:line="360" w:lineRule="auto"/>
        <w:ind w:right="480" w:firstLine="5640" w:firstLineChars="2350"/>
        <w:jc w:val="right"/>
        <w:rPr>
          <w:rFonts w:hint="eastAsia"/>
          <w:color w:val="auto"/>
          <w:highlight w:val="none"/>
          <w:lang w:val="zh-CN"/>
        </w:rPr>
      </w:pPr>
      <w:r>
        <w:rPr>
          <w:rFonts w:hint="eastAsia" w:ascii="宋体" w:hAnsi="宋体" w:eastAsia="宋体" w:cs="宋体"/>
          <w:color w:val="auto"/>
          <w:sz w:val="24"/>
          <w:highlight w:val="none"/>
          <w:lang w:val="zh-CN"/>
        </w:rPr>
        <w:t xml:space="preserve">年      月      日        </w:t>
      </w:r>
    </w:p>
    <w:p>
      <w:pPr>
        <w:autoSpaceDE w:val="0"/>
        <w:autoSpaceDN w:val="0"/>
        <w:adjustRightInd w:val="0"/>
        <w:snapToGrid w:val="0"/>
        <w:spacing w:line="360" w:lineRule="auto"/>
        <w:ind w:firstLine="3424" w:firstLineChars="1421"/>
        <w:rPr>
          <w:rFonts w:hint="eastAsia" w:ascii="宋体" w:hAnsi="宋体" w:eastAsia="宋体" w:cs="宋体"/>
          <w:b/>
          <w:color w:val="auto"/>
          <w:sz w:val="24"/>
          <w:highlight w:val="none"/>
          <w:lang w:val="zh-CN"/>
        </w:rPr>
      </w:pPr>
    </w:p>
    <w:p>
      <w:pPr>
        <w:autoSpaceDE w:val="0"/>
        <w:autoSpaceDN w:val="0"/>
        <w:adjustRightInd w:val="0"/>
        <w:snapToGrid w:val="0"/>
        <w:spacing w:line="360" w:lineRule="auto"/>
        <w:ind w:firstLine="3424" w:firstLineChars="1421"/>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二、投标书</w:t>
      </w: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重庆医科大学：</w:t>
      </w:r>
    </w:p>
    <w:p>
      <w:pPr>
        <w:autoSpaceDE w:val="0"/>
        <w:autoSpaceDN w:val="0"/>
        <w:adjustRightInd w:val="0"/>
        <w:snapToGrid w:val="0"/>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我们收到</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的招标文件，经详细研究，愿意参加投标。并授权下述签字人</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w:t>
      </w:r>
      <w:r>
        <w:rPr>
          <w:rFonts w:hint="eastAsia" w:ascii="宋体" w:hAnsi="宋体" w:cs="宋体"/>
          <w:color w:val="auto"/>
          <w:sz w:val="24"/>
          <w:highlight w:val="none"/>
          <w:lang w:val="zh-CN"/>
        </w:rPr>
        <w:t>联系电话：</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lang w:val="zh-CN"/>
        </w:rPr>
        <w:t>全权代表我投标单位提交下述文件正本一份，副本一式</w:t>
      </w:r>
      <w:r>
        <w:rPr>
          <w:rFonts w:hint="eastAsia" w:ascii="宋体" w:hAnsi="宋体" w:eastAsia="宋体" w:cs="宋体"/>
          <w:color w:val="auto"/>
          <w:sz w:val="24"/>
          <w:highlight w:val="none"/>
          <w:u w:val="single"/>
          <w:lang w:val="zh-CN"/>
        </w:rPr>
        <w:t xml:space="preserve">  叁 </w:t>
      </w:r>
      <w:r>
        <w:rPr>
          <w:rFonts w:hint="eastAsia" w:ascii="宋体" w:hAnsi="宋体" w:eastAsia="宋体" w:cs="宋体"/>
          <w:color w:val="auto"/>
          <w:sz w:val="24"/>
          <w:highlight w:val="none"/>
          <w:lang w:val="zh-CN"/>
        </w:rPr>
        <w:t>份。文件包括：</w:t>
      </w:r>
    </w:p>
    <w:p>
      <w:pPr>
        <w:autoSpaceDE w:val="0"/>
        <w:autoSpaceDN w:val="0"/>
        <w:adjustRightInd w:val="0"/>
        <w:snapToGrid w:val="0"/>
        <w:spacing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1.投标书。    </w:t>
      </w:r>
    </w:p>
    <w:p>
      <w:pPr>
        <w:autoSpaceDE w:val="0"/>
        <w:autoSpaceDN w:val="0"/>
        <w:adjustRightInd w:val="0"/>
        <w:snapToGrid w:val="0"/>
        <w:spacing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2.资格证明文件。</w:t>
      </w: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3.并同时宣布愿意遵守下列条款：</w:t>
      </w:r>
    </w:p>
    <w:p>
      <w:pPr>
        <w:autoSpaceDE w:val="0"/>
        <w:autoSpaceDN w:val="0"/>
        <w:adjustRightInd w:val="0"/>
        <w:snapToGrid w:val="0"/>
        <w:spacing w:line="360" w:lineRule="auto"/>
        <w:ind w:firstLine="420" w:firstLineChars="17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（1）承认和愿意按照招标文件的各项规定和要求，提供邀标产品。投标单见附表1。</w:t>
      </w:r>
    </w:p>
    <w:p>
      <w:pPr>
        <w:autoSpaceDE w:val="0"/>
        <w:autoSpaceDN w:val="0"/>
        <w:adjustRightInd w:val="0"/>
        <w:snapToGrid w:val="0"/>
        <w:spacing w:line="360" w:lineRule="auto"/>
        <w:ind w:firstLine="420" w:firstLineChars="17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（2）愿意按照国家《合同法》履行自己的责任和义务。</w:t>
      </w:r>
    </w:p>
    <w:p>
      <w:pPr>
        <w:autoSpaceDE w:val="0"/>
        <w:autoSpaceDN w:val="0"/>
        <w:adjustRightInd w:val="0"/>
        <w:snapToGrid w:val="0"/>
        <w:spacing w:line="360" w:lineRule="auto"/>
        <w:ind w:firstLine="420" w:firstLineChars="17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（3）理解招标人不以最低价格作为唯一中标的选择标准。</w:t>
      </w:r>
    </w:p>
    <w:p>
      <w:pPr>
        <w:autoSpaceDE w:val="0"/>
        <w:autoSpaceDN w:val="0"/>
        <w:adjustRightInd w:val="0"/>
        <w:snapToGrid w:val="0"/>
        <w:spacing w:line="360" w:lineRule="auto"/>
        <w:ind w:firstLine="420" w:firstLineChars="17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（4）如果我们成为中标候选人，我们会按你们的要求接受当面质询和商务谈判，并为你们的一切考查活动提供支持和方便。</w:t>
      </w:r>
    </w:p>
    <w:p>
      <w:pPr>
        <w:autoSpaceDE w:val="0"/>
        <w:autoSpaceDN w:val="0"/>
        <w:adjustRightInd w:val="0"/>
        <w:snapToGrid w:val="0"/>
        <w:spacing w:line="360" w:lineRule="auto"/>
        <w:ind w:firstLine="420" w:firstLineChars="17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（5）如果我们中标，我们将在招标文件规定时间签订供货合同，并按期、按质、按量完成任务。</w:t>
      </w:r>
    </w:p>
    <w:p>
      <w:pPr>
        <w:autoSpaceDE w:val="0"/>
        <w:autoSpaceDN w:val="0"/>
        <w:adjustRightInd w:val="0"/>
        <w:snapToGrid w:val="0"/>
        <w:spacing w:line="360" w:lineRule="auto"/>
        <w:ind w:firstLine="420" w:firstLineChars="17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（6）能够提供招标文件中要求的所有资料。</w:t>
      </w:r>
    </w:p>
    <w:p>
      <w:pPr>
        <w:autoSpaceDE w:val="0"/>
        <w:autoSpaceDN w:val="0"/>
        <w:adjustRightInd w:val="0"/>
        <w:snapToGrid w:val="0"/>
        <w:spacing w:line="360" w:lineRule="auto"/>
        <w:ind w:firstLine="420" w:firstLineChars="17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（7）遵守招标文件规定的收费项目和标准，响应招标文书的要求。</w:t>
      </w:r>
    </w:p>
    <w:p>
      <w:pPr>
        <w:autoSpaceDE w:val="0"/>
        <w:autoSpaceDN w:val="0"/>
        <w:adjustRightInd w:val="0"/>
        <w:snapToGrid w:val="0"/>
        <w:spacing w:line="360" w:lineRule="auto"/>
        <w:ind w:firstLine="600" w:firstLineChars="2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4.有关本投标书的函、电请按下列地址联系：</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w:t>
      </w:r>
    </w:p>
    <w:p>
      <w:pPr>
        <w:autoSpaceDE w:val="0"/>
        <w:autoSpaceDN w:val="0"/>
        <w:adjustRightInd w:val="0"/>
        <w:snapToGrid w:val="0"/>
        <w:spacing w:line="360" w:lineRule="auto"/>
        <w:rPr>
          <w:rFonts w:hint="eastAsia" w:ascii="宋体" w:hAnsi="宋体" w:eastAsia="宋体" w:cs="宋体"/>
          <w:color w:val="auto"/>
          <w:sz w:val="24"/>
          <w:highlight w:val="none"/>
          <w:lang w:val="zh-CN"/>
        </w:rPr>
      </w:pPr>
    </w:p>
    <w:p>
      <w:pPr>
        <w:autoSpaceDE w:val="0"/>
        <w:autoSpaceDN w:val="0"/>
        <w:adjustRightInd w:val="0"/>
        <w:snapToGrid w:val="0"/>
        <w:spacing w:line="360" w:lineRule="auto"/>
        <w:ind w:firstLine="4680" w:firstLineChars="19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投标单位：          （盖章）</w:t>
      </w:r>
    </w:p>
    <w:p>
      <w:pPr>
        <w:autoSpaceDE w:val="0"/>
        <w:autoSpaceDN w:val="0"/>
        <w:adjustRightInd w:val="0"/>
        <w:snapToGrid w:val="0"/>
        <w:spacing w:line="360" w:lineRule="auto"/>
        <w:ind w:firstLine="4680" w:firstLineChars="19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法人或授权代表人：  （盖章）</w:t>
      </w:r>
    </w:p>
    <w:p>
      <w:pPr>
        <w:autoSpaceDE w:val="0"/>
        <w:autoSpaceDN w:val="0"/>
        <w:adjustRightInd w:val="0"/>
        <w:snapToGrid w:val="0"/>
        <w:spacing w:line="360" w:lineRule="auto"/>
        <w:ind w:right="480" w:firstLine="4680" w:firstLineChars="1950"/>
        <w:jc w:val="right"/>
        <w:rPr>
          <w:rFonts w:hint="eastAsia" w:ascii="宋体" w:hAnsi="宋体" w:eastAsia="宋体" w:cs="宋体"/>
          <w:color w:val="auto"/>
          <w:highlight w:val="none"/>
          <w:lang w:val="zh-CN"/>
        </w:rPr>
      </w:pPr>
      <w:r>
        <w:rPr>
          <w:rFonts w:hint="eastAsia" w:ascii="宋体" w:hAnsi="宋体" w:eastAsia="宋体" w:cs="宋体"/>
          <w:color w:val="auto"/>
          <w:sz w:val="24"/>
          <w:highlight w:val="none"/>
          <w:lang w:val="zh-CN"/>
        </w:rPr>
        <w:t>年      月      日</w:t>
      </w:r>
    </w:p>
    <w:p>
      <w:pPr>
        <w:pStyle w:val="4"/>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三、法定代表人身份证明书（格式）</w:t>
      </w:r>
    </w:p>
    <w:p>
      <w:pPr>
        <w:tabs>
          <w:tab w:val="left" w:pos="6300"/>
        </w:tabs>
        <w:adjustRightInd w:val="0"/>
        <w:snapToGrid w:val="0"/>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（法定代表人姓名）      </w:t>
      </w:r>
      <w:r>
        <w:rPr>
          <w:rFonts w:hint="eastAsia" w:ascii="宋体" w:hAnsi="宋体" w:eastAsia="宋体" w:cs="宋体"/>
          <w:color w:val="auto"/>
          <w:sz w:val="24"/>
          <w:highlight w:val="none"/>
        </w:rPr>
        <w:t>在</w:t>
      </w:r>
      <w:r>
        <w:rPr>
          <w:rFonts w:hint="eastAsia" w:ascii="宋体" w:hAnsi="宋体" w:eastAsia="宋体" w:cs="宋体"/>
          <w:color w:val="auto"/>
          <w:sz w:val="24"/>
          <w:highlight w:val="none"/>
          <w:u w:val="single"/>
        </w:rPr>
        <w:t xml:space="preserve">（投标人名称）     </w:t>
      </w:r>
      <w:r>
        <w:rPr>
          <w:rFonts w:hint="eastAsia" w:ascii="宋体" w:hAnsi="宋体" w:eastAsia="宋体" w:cs="宋体"/>
          <w:color w:val="auto"/>
          <w:sz w:val="24"/>
          <w:highlight w:val="none"/>
        </w:rPr>
        <w:t>任</w:t>
      </w:r>
      <w:r>
        <w:rPr>
          <w:rFonts w:hint="eastAsia" w:ascii="宋体" w:hAnsi="宋体" w:eastAsia="宋体" w:cs="宋体"/>
          <w:color w:val="auto"/>
          <w:sz w:val="24"/>
          <w:highlight w:val="none"/>
          <w:u w:val="single"/>
        </w:rPr>
        <w:t xml:space="preserve">（职务名称）      </w:t>
      </w:r>
      <w:r>
        <w:rPr>
          <w:rFonts w:hint="eastAsia" w:ascii="宋体" w:hAnsi="宋体" w:eastAsia="宋体" w:cs="宋体"/>
          <w:color w:val="auto"/>
          <w:sz w:val="24"/>
          <w:highlight w:val="none"/>
        </w:rPr>
        <w:t>职务，是</w:t>
      </w:r>
      <w:r>
        <w:rPr>
          <w:rFonts w:hint="eastAsia" w:ascii="宋体" w:hAnsi="宋体" w:eastAsia="宋体" w:cs="宋体"/>
          <w:color w:val="auto"/>
          <w:sz w:val="24"/>
          <w:highlight w:val="none"/>
          <w:u w:val="single"/>
        </w:rPr>
        <w:t xml:space="preserve">（投标人名称）    </w:t>
      </w:r>
      <w:r>
        <w:rPr>
          <w:rFonts w:hint="eastAsia" w:ascii="宋体" w:hAnsi="宋体" w:eastAsia="宋体" w:cs="宋体"/>
          <w:color w:val="auto"/>
          <w:sz w:val="24"/>
          <w:highlight w:val="none"/>
        </w:rPr>
        <w:t>的法定代表人。</w:t>
      </w:r>
    </w:p>
    <w:p>
      <w:pPr>
        <w:adjustRightInd w:val="0"/>
        <w:snapToGrid w:val="0"/>
        <w:spacing w:line="240" w:lineRule="auto"/>
        <w:ind w:firstLine="600" w:firstLineChars="250"/>
        <w:rPr>
          <w:rFonts w:hint="eastAsia" w:ascii="宋体" w:hAnsi="宋体" w:eastAsia="宋体" w:cs="宋体"/>
          <w:color w:val="auto"/>
          <w:sz w:val="24"/>
          <w:highlight w:val="none"/>
        </w:rPr>
      </w:pPr>
      <w:bookmarkStart w:id="34" w:name="_Toc156196470"/>
      <w:bookmarkStart w:id="35" w:name="_Toc156196559"/>
      <w:bookmarkStart w:id="36" w:name="_Toc166139912"/>
      <w:bookmarkStart w:id="37" w:name="_Toc128229302"/>
      <w:bookmarkStart w:id="38" w:name="_Toc175017342"/>
      <w:bookmarkStart w:id="39" w:name="_Toc128229745"/>
      <w:bookmarkStart w:id="40" w:name="_Toc173677397"/>
      <w:bookmarkStart w:id="41" w:name="_Toc156815770"/>
      <w:bookmarkStart w:id="42" w:name="_Toc128229916"/>
      <w:bookmarkStart w:id="43" w:name="_Toc156730450"/>
      <w:bookmarkStart w:id="44" w:name="_Toc166549448"/>
      <w:r>
        <w:rPr>
          <w:rFonts w:hint="eastAsia" w:ascii="宋体" w:hAnsi="宋体" w:eastAsia="宋体" w:cs="宋体"/>
          <w:color w:val="auto"/>
          <w:sz w:val="24"/>
          <w:highlight w:val="none"/>
        </w:rPr>
        <w:t>特此证明。</w:t>
      </w:r>
      <w:bookmarkEnd w:id="34"/>
      <w:bookmarkEnd w:id="35"/>
      <w:bookmarkEnd w:id="36"/>
      <w:bookmarkEnd w:id="37"/>
      <w:bookmarkEnd w:id="38"/>
      <w:bookmarkEnd w:id="39"/>
      <w:bookmarkEnd w:id="40"/>
      <w:bookmarkEnd w:id="41"/>
      <w:bookmarkEnd w:id="42"/>
      <w:bookmarkEnd w:id="43"/>
      <w:bookmarkEnd w:id="44"/>
    </w:p>
    <w:p>
      <w:pPr>
        <w:pStyle w:val="2"/>
        <w:spacing w:line="240" w:lineRule="auto"/>
        <w:rPr>
          <w:rFonts w:hint="eastAsia" w:eastAsia="宋体"/>
          <w:color w:val="auto"/>
          <w:highlight w:val="none"/>
          <w:lang w:eastAsia="zh-CN"/>
        </w:rPr>
      </w:pPr>
      <w:r>
        <w:rPr>
          <w:rFonts w:hint="eastAsia" w:ascii="宋体" w:hAnsi="宋体" w:cs="宋体"/>
          <w:color w:val="auto"/>
          <w:sz w:val="24"/>
          <w:highlight w:val="none"/>
          <w:lang w:eastAsia="zh-CN"/>
        </w:rPr>
        <w:t>（附法定代表人身份证双面复印件）</w:t>
      </w:r>
    </w:p>
    <w:p>
      <w:pPr>
        <w:adjustRightInd w:val="0"/>
        <w:snapToGrid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bookmarkStart w:id="45" w:name="_Toc156815771"/>
      <w:bookmarkStart w:id="46" w:name="_Toc156196471"/>
      <w:bookmarkStart w:id="47" w:name="_Toc128229746"/>
      <w:bookmarkStart w:id="48" w:name="_Toc156730451"/>
      <w:bookmarkStart w:id="49" w:name="_Toc128229303"/>
      <w:bookmarkStart w:id="50" w:name="_Toc175017343"/>
      <w:bookmarkStart w:id="51" w:name="_Toc128229917"/>
      <w:bookmarkStart w:id="52" w:name="_Toc166139913"/>
      <w:bookmarkStart w:id="53" w:name="_Toc166549449"/>
      <w:bookmarkStart w:id="54" w:name="_Toc156196560"/>
      <w:bookmarkStart w:id="55" w:name="_Toc173677398"/>
      <w:r>
        <w:rPr>
          <w:rFonts w:hint="eastAsia" w:ascii="宋体" w:hAnsi="宋体" w:eastAsia="宋体" w:cs="宋体"/>
          <w:color w:val="auto"/>
          <w:sz w:val="24"/>
          <w:highlight w:val="none"/>
        </w:rPr>
        <w:t xml:space="preserve">  投标人全称</w:t>
      </w:r>
      <w:bookmarkEnd w:id="45"/>
      <w:bookmarkEnd w:id="46"/>
      <w:bookmarkEnd w:id="47"/>
      <w:bookmarkEnd w:id="48"/>
      <w:bookmarkEnd w:id="49"/>
      <w:bookmarkEnd w:id="50"/>
      <w:bookmarkEnd w:id="51"/>
      <w:bookmarkEnd w:id="52"/>
      <w:bookmarkEnd w:id="53"/>
      <w:bookmarkEnd w:id="54"/>
      <w:bookmarkEnd w:id="55"/>
      <w:r>
        <w:rPr>
          <w:rFonts w:hint="eastAsia" w:ascii="宋体" w:hAnsi="宋体" w:eastAsia="宋体" w:cs="宋体"/>
          <w:color w:val="auto"/>
          <w:sz w:val="24"/>
          <w:highlight w:val="none"/>
        </w:rPr>
        <w:t>：（公章）</w:t>
      </w:r>
    </w:p>
    <w:p>
      <w:pPr>
        <w:tabs>
          <w:tab w:val="left" w:pos="6300"/>
        </w:tabs>
        <w:adjustRightInd w:val="0"/>
        <w:snapToGrid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pPr>
        <w:tabs>
          <w:tab w:val="left" w:pos="6300"/>
        </w:tabs>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w:t>
      </w:r>
    </w:p>
    <w:p>
      <w:pPr>
        <w:pStyle w:val="4"/>
        <w:adjustRightInd w:val="0"/>
        <w:snapToGrid w:val="0"/>
        <w:spacing w:line="360" w:lineRule="auto"/>
        <w:rPr>
          <w:rFonts w:hint="eastAsia" w:ascii="宋体" w:hAnsi="宋体" w:eastAsia="宋体" w:cs="宋体"/>
          <w:color w:val="auto"/>
          <w:highlight w:val="none"/>
        </w:rPr>
      </w:pPr>
      <w:bookmarkStart w:id="56" w:name="_Toc173677399"/>
      <w:bookmarkStart w:id="57" w:name="_Toc128229747"/>
      <w:bookmarkStart w:id="58" w:name="_Toc175017344"/>
      <w:bookmarkStart w:id="59" w:name="_Toc128229304"/>
      <w:bookmarkStart w:id="60" w:name="_Toc128014297"/>
      <w:bookmarkStart w:id="61" w:name="_Toc237057793"/>
      <w:bookmarkStart w:id="62" w:name="_Toc156196472"/>
      <w:r>
        <w:rPr>
          <w:rFonts w:hint="eastAsia" w:ascii="宋体" w:hAnsi="宋体" w:eastAsia="宋体" w:cs="宋体"/>
          <w:color w:val="auto"/>
          <w:highlight w:val="none"/>
        </w:rPr>
        <w:t xml:space="preserve">      四、投标人法定代表人授权委托书（格式）</w:t>
      </w:r>
      <w:bookmarkEnd w:id="56"/>
      <w:bookmarkEnd w:id="57"/>
      <w:bookmarkEnd w:id="58"/>
      <w:bookmarkEnd w:id="59"/>
      <w:bookmarkEnd w:id="60"/>
      <w:bookmarkEnd w:id="61"/>
      <w:bookmarkEnd w:id="62"/>
    </w:p>
    <w:p>
      <w:pPr>
        <w:pStyle w:val="11"/>
        <w:tabs>
          <w:tab w:val="left" w:pos="6300"/>
        </w:tabs>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cs="宋体"/>
          <w:color w:val="auto"/>
          <w:highlight w:val="none"/>
          <w:lang w:val="en-US" w:eastAsia="zh-CN"/>
        </w:rPr>
        <w:t xml:space="preserve">  </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编号：</w:t>
      </w:r>
    </w:p>
    <w:p>
      <w:pPr>
        <w:tabs>
          <w:tab w:val="left" w:pos="6300"/>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p>
      <w:pPr>
        <w:tabs>
          <w:tab w:val="left" w:pos="6300"/>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pPr>
        <w:tabs>
          <w:tab w:val="left" w:pos="6300"/>
        </w:tabs>
        <w:adjustRightInd w:val="0"/>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重庆医科大学</w:t>
      </w:r>
    </w:p>
    <w:p>
      <w:pPr>
        <w:tabs>
          <w:tab w:val="left" w:pos="6300"/>
        </w:tabs>
        <w:adjustRightInd w:val="0"/>
        <w:snapToGrid w:val="0"/>
        <w:spacing w:line="360" w:lineRule="auto"/>
        <w:ind w:firstLine="555"/>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（投标人名称）</w:t>
      </w:r>
      <w:r>
        <w:rPr>
          <w:rFonts w:hint="eastAsia" w:ascii="宋体" w:hAnsi="宋体" w:eastAsia="宋体" w:cs="宋体"/>
          <w:color w:val="auto"/>
          <w:sz w:val="24"/>
          <w:highlight w:val="none"/>
        </w:rPr>
        <w:t>是中华人民共和国合法企业，法定地址</w:t>
      </w:r>
      <w:r>
        <w:rPr>
          <w:rFonts w:hint="eastAsia" w:ascii="宋体" w:hAnsi="宋体" w:eastAsia="宋体" w:cs="宋体"/>
          <w:color w:val="auto"/>
          <w:sz w:val="24"/>
          <w:highlight w:val="none"/>
          <w:u w:val="single"/>
        </w:rPr>
        <w:t xml:space="preserve">                               。</w:t>
      </w:r>
    </w:p>
    <w:p>
      <w:pPr>
        <w:tabs>
          <w:tab w:val="left" w:pos="6300"/>
        </w:tabs>
        <w:adjustRightInd w:val="0"/>
        <w:snapToGrid w:val="0"/>
        <w:spacing w:line="360" w:lineRule="auto"/>
        <w:ind w:firstLine="555"/>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（投标人法定代表人姓名）</w:t>
      </w:r>
      <w:r>
        <w:rPr>
          <w:rFonts w:hint="eastAsia" w:ascii="宋体" w:hAnsi="宋体" w:eastAsia="宋体" w:cs="宋体"/>
          <w:color w:val="auto"/>
          <w:sz w:val="24"/>
          <w:highlight w:val="none"/>
        </w:rPr>
        <w:t>特授权</w:t>
      </w:r>
      <w:r>
        <w:rPr>
          <w:rFonts w:hint="eastAsia" w:ascii="宋体" w:hAnsi="宋体" w:eastAsia="宋体" w:cs="宋体"/>
          <w:color w:val="auto"/>
          <w:sz w:val="24"/>
          <w:highlight w:val="none"/>
          <w:u w:val="single"/>
        </w:rPr>
        <w:t xml:space="preserve">                 （被授权人姓名及身份证代码）</w:t>
      </w:r>
      <w:r>
        <w:rPr>
          <w:rFonts w:hint="eastAsia" w:ascii="宋体" w:hAnsi="宋体" w:eastAsia="宋体" w:cs="宋体"/>
          <w:color w:val="auto"/>
          <w:sz w:val="24"/>
          <w:highlight w:val="none"/>
        </w:rPr>
        <w:t>代表我单位全权办理对上述项目的投标、谈判、签约等具体工作，并签署全部有关的文件、协议及合同。</w:t>
      </w:r>
    </w:p>
    <w:p>
      <w:pPr>
        <w:tabs>
          <w:tab w:val="left" w:pos="6300"/>
        </w:tabs>
        <w:adjustRightInd w:val="0"/>
        <w:snapToGrid w:val="0"/>
        <w:spacing w:line="360" w:lineRule="auto"/>
        <w:ind w:firstLine="555"/>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我单位对被授权人的签名负全部责任。</w:t>
      </w:r>
    </w:p>
    <w:p>
      <w:pPr>
        <w:tabs>
          <w:tab w:val="left" w:pos="6300"/>
        </w:tabs>
        <w:adjustRightInd w:val="0"/>
        <w:snapToGrid w:val="0"/>
        <w:spacing w:line="360" w:lineRule="auto"/>
        <w:ind w:firstLine="555"/>
        <w:rPr>
          <w:rFonts w:hint="eastAsia" w:ascii="宋体" w:hAnsi="宋体" w:eastAsia="宋体" w:cs="宋体"/>
          <w:color w:val="auto"/>
          <w:sz w:val="24"/>
          <w:highlight w:val="none"/>
        </w:rPr>
      </w:pPr>
      <w:r>
        <w:rPr>
          <w:rFonts w:hint="eastAsia" w:ascii="宋体" w:hAnsi="宋体" w:eastAsia="宋体" w:cs="宋体"/>
          <w:color w:val="auto"/>
          <w:sz w:val="24"/>
          <w:highlight w:val="none"/>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559" w:firstLineChars="233"/>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被授权人签名：                  投标人法定代表人签名：</w:t>
      </w:r>
    </w:p>
    <w:p>
      <w:pPr>
        <w:tabs>
          <w:tab w:val="left" w:pos="6300"/>
        </w:tabs>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职  务：                        职  务：</w:t>
      </w:r>
    </w:p>
    <w:p>
      <w:pPr>
        <w:tabs>
          <w:tab w:val="left" w:pos="6300"/>
        </w:tabs>
        <w:adjustRightInd w:val="0"/>
        <w:snapToGrid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联系电话： </w:t>
      </w:r>
    </w:p>
    <w:p>
      <w:pPr>
        <w:tabs>
          <w:tab w:val="left" w:pos="6300"/>
        </w:tabs>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w:t>
      </w:r>
      <w:r>
        <w:rPr>
          <w:rFonts w:hint="eastAsia" w:ascii="宋体" w:hAnsi="宋体" w:cs="宋体"/>
          <w:color w:val="auto"/>
          <w:sz w:val="24"/>
          <w:highlight w:val="none"/>
          <w:lang w:eastAsia="zh-CN"/>
        </w:rPr>
        <w:t>被授权人</w:t>
      </w:r>
      <w:r>
        <w:rPr>
          <w:rFonts w:hint="eastAsia" w:ascii="宋体" w:hAnsi="宋体" w:eastAsia="宋体" w:cs="宋体"/>
          <w:color w:val="auto"/>
          <w:sz w:val="24"/>
          <w:highlight w:val="none"/>
        </w:rPr>
        <w:t>身份证</w:t>
      </w:r>
      <w:r>
        <w:rPr>
          <w:rFonts w:hint="eastAsia" w:ascii="宋体" w:hAnsi="宋体" w:cs="宋体"/>
          <w:color w:val="auto"/>
          <w:sz w:val="24"/>
          <w:highlight w:val="none"/>
          <w:lang w:eastAsia="zh-CN"/>
        </w:rPr>
        <w:t>双面</w:t>
      </w:r>
      <w:r>
        <w:rPr>
          <w:rFonts w:hint="eastAsia" w:ascii="宋体" w:hAnsi="宋体" w:eastAsia="宋体" w:cs="宋体"/>
          <w:color w:val="auto"/>
          <w:sz w:val="24"/>
          <w:highlight w:val="none"/>
        </w:rPr>
        <w:t>复印件）</w:t>
      </w:r>
    </w:p>
    <w:p>
      <w:pPr>
        <w:adjustRightInd w:val="0"/>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投标人公章：</w:t>
      </w:r>
    </w:p>
    <w:p>
      <w:pPr>
        <w:pStyle w:val="4"/>
        <w:jc w:val="both"/>
        <w:rPr>
          <w:rFonts w:hint="eastAsia" w:ascii="宋体" w:hAnsi="宋体" w:eastAsia="宋体" w:cs="宋体"/>
          <w:color w:val="auto"/>
          <w:highlight w:val="none"/>
        </w:rPr>
      </w:pPr>
    </w:p>
    <w:p>
      <w:pPr>
        <w:pStyle w:val="18"/>
        <w:ind w:leftChars="0" w:firstLine="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五、报价函</w:t>
      </w:r>
    </w:p>
    <w:p>
      <w:pPr>
        <w:tabs>
          <w:tab w:val="left" w:pos="6300"/>
        </w:tabs>
        <w:snapToGrid w:val="0"/>
        <w:spacing w:line="480" w:lineRule="exact"/>
        <w:jc w:val="center"/>
        <w:outlineLvl w:val="0"/>
        <w:rPr>
          <w:rFonts w:hint="eastAsia" w:ascii="宋体" w:hAnsi="宋体" w:eastAsia="宋体" w:cs="宋体"/>
          <w:b/>
          <w:color w:val="auto"/>
          <w:szCs w:val="21"/>
          <w:highlight w:val="none"/>
        </w:rPr>
      </w:pPr>
      <w:bookmarkStart w:id="63" w:name="_Toc89868484"/>
      <w:r>
        <w:rPr>
          <w:rFonts w:hint="eastAsia" w:ascii="宋体" w:hAnsi="宋体" w:eastAsia="宋体" w:cs="宋体"/>
          <w:b/>
          <w:color w:val="auto"/>
          <w:szCs w:val="21"/>
          <w:highlight w:val="none"/>
        </w:rPr>
        <w:t>报价函</w:t>
      </w:r>
      <w:bookmarkEnd w:id="63"/>
    </w:p>
    <w:p>
      <w:pPr>
        <w:tabs>
          <w:tab w:val="left" w:pos="6300"/>
        </w:tabs>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重庆医科大学</w:t>
      </w:r>
      <w:r>
        <w:rPr>
          <w:rFonts w:hint="eastAsia" w:ascii="宋体" w:hAnsi="宋体" w:eastAsia="宋体" w:cs="宋体"/>
          <w:color w:val="auto"/>
          <w:sz w:val="24"/>
          <w:szCs w:val="24"/>
          <w:highlight w:val="none"/>
        </w:rPr>
        <w:t>：</w:t>
      </w:r>
    </w:p>
    <w:p>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（项目名称）的招标文件，经详细研究，决定参加该项目的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w:t>
      </w:r>
    </w:p>
    <w:p>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1、愿意按照院内采购文件中的一切要求，提供本项目涉及的所有内容，初始报价为人民币大写：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；人民币小写：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。以我公司最后报价为准。</w:t>
      </w:r>
    </w:p>
    <w:p>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2、我方现提交的响应文件为：响应文件正本</w:t>
      </w:r>
      <w:r>
        <w:rPr>
          <w:rFonts w:hint="eastAsia" w:ascii="宋体" w:hAnsi="宋体" w:eastAsia="宋体" w:cs="宋体"/>
          <w:color w:val="auto"/>
          <w:sz w:val="24"/>
          <w:szCs w:val="24"/>
          <w:highlight w:val="none"/>
          <w:u w:val="single"/>
        </w:rPr>
        <w:t xml:space="preserve"> 一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 xml:space="preserve"> 三  </w:t>
      </w:r>
      <w:r>
        <w:rPr>
          <w:rFonts w:hint="eastAsia" w:ascii="宋体" w:hAnsi="宋体" w:eastAsia="宋体" w:cs="宋体"/>
          <w:color w:val="auto"/>
          <w:sz w:val="24"/>
          <w:szCs w:val="24"/>
          <w:highlight w:val="none"/>
        </w:rPr>
        <w:t>份。</w:t>
      </w:r>
    </w:p>
    <w:p>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3、我方承诺：本次谈判的有效期为90天。</w:t>
      </w:r>
    </w:p>
    <w:p>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4、我方完全理解和接受贵方该项目招标文件的一切规定和要求及谈判评审办法。</w:t>
      </w:r>
    </w:p>
    <w:p>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5、在整个该项目招标过程中，我方若有违规行为，接受相关法律法规和该项目招标文件之规定给予的惩罚。</w:t>
      </w:r>
    </w:p>
    <w:p>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6、我方若成为成交供应商，将按照最终谈判结果签订合同，并且严格履行合同义务。本承诺函将成为合同不可分割的一部分，与合同具有同等的法律效力。</w:t>
      </w:r>
    </w:p>
    <w:p>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7、我方同意按该项目招标文件规定，交纳该项目招标文件要求的保证金。</w:t>
      </w:r>
    </w:p>
    <w:p>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8、我方未为该项目提供整体设计、规范编制或者项目管理、监理、检测等服务。</w:t>
      </w:r>
    </w:p>
    <w:p>
      <w:pPr>
        <w:tabs>
          <w:tab w:val="left" w:pos="6300"/>
        </w:tabs>
        <w:snapToGrid w:val="0"/>
        <w:spacing w:line="312" w:lineRule="auto"/>
        <w:ind w:firstLine="570"/>
        <w:rPr>
          <w:rFonts w:hint="eastAsia" w:ascii="宋体" w:hAnsi="宋体" w:eastAsia="宋体" w:cs="宋体"/>
          <w:color w:val="auto"/>
          <w:sz w:val="24"/>
          <w:szCs w:val="24"/>
          <w:highlight w:val="none"/>
        </w:rPr>
      </w:pPr>
    </w:p>
    <w:p>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pPr>
        <w:tabs>
          <w:tab w:val="left" w:pos="6300"/>
        </w:tabs>
        <w:snapToGrid w:val="0"/>
        <w:spacing w:line="312" w:lineRule="auto"/>
        <w:ind w:firstLine="57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开户银行：</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账号：</w:t>
      </w:r>
    </w:p>
    <w:p>
      <w:pPr>
        <w:adjustRightInd w:val="0"/>
        <w:snapToGrid w:val="0"/>
        <w:spacing w:line="360" w:lineRule="auto"/>
        <w:ind w:firstLine="2880" w:firstLineChars="1200"/>
        <w:jc w:val="right"/>
        <w:rPr>
          <w:rFonts w:hint="eastAsia" w:ascii="宋体" w:hAnsi="宋体" w:eastAsia="宋体" w:cs="宋体"/>
          <w:color w:val="auto"/>
          <w:highlight w:val="none"/>
          <w:lang w:val="zh-CN"/>
        </w:rPr>
      </w:pPr>
      <w:r>
        <w:rPr>
          <w:rFonts w:hint="eastAsia" w:ascii="宋体" w:hAnsi="宋体" w:eastAsia="宋体" w:cs="宋体"/>
          <w:color w:val="auto"/>
          <w:sz w:val="24"/>
          <w:szCs w:val="24"/>
          <w:highlight w:val="none"/>
        </w:rPr>
        <w:t>年   月   日</w:t>
      </w:r>
    </w:p>
    <w:p>
      <w:pPr>
        <w:pStyle w:val="4"/>
        <w:numPr>
          <w:ilvl w:val="0"/>
          <w:numId w:val="3"/>
        </w:numPr>
        <w:rPr>
          <w:rFonts w:hint="eastAsia" w:ascii="宋体" w:hAnsi="宋体" w:eastAsia="宋体" w:cs="宋体"/>
          <w:b/>
          <w:color w:val="auto"/>
          <w:sz w:val="24"/>
          <w:highlight w:val="none"/>
        </w:rPr>
      </w:pPr>
      <w:r>
        <w:rPr>
          <w:rFonts w:hint="eastAsia" w:ascii="宋体" w:hAnsi="宋体" w:cs="宋体"/>
          <w:color w:val="auto"/>
          <w:sz w:val="24"/>
          <w:highlight w:val="none"/>
          <w:lang w:eastAsia="zh-CN"/>
        </w:rPr>
        <w:t>项目分项报价</w:t>
      </w:r>
      <w:r>
        <w:rPr>
          <w:rFonts w:hint="eastAsia" w:ascii="宋体" w:hAnsi="宋体" w:eastAsia="宋体" w:cs="宋体"/>
          <w:color w:val="auto"/>
          <w:sz w:val="24"/>
          <w:highlight w:val="none"/>
        </w:rPr>
        <w:t>清单</w:t>
      </w:r>
      <w:r>
        <w:rPr>
          <w:rFonts w:hint="eastAsia" w:ascii="宋体" w:hAnsi="宋体" w:eastAsia="宋体" w:cs="宋体"/>
          <w:color w:val="auto"/>
          <w:highlight w:val="none"/>
        </w:rPr>
        <w:t xml:space="preserve">   </w:t>
      </w:r>
      <w:r>
        <w:rPr>
          <w:rFonts w:hint="eastAsia" w:ascii="宋体" w:hAnsi="宋体" w:eastAsia="宋体" w:cs="宋体"/>
          <w:b/>
          <w:color w:val="auto"/>
          <w:sz w:val="24"/>
          <w:highlight w:val="none"/>
        </w:rPr>
        <w:t xml:space="preserve">                                 </w:t>
      </w:r>
    </w:p>
    <w:p>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en-US" w:eastAsia="zh-CN"/>
        </w:rPr>
        <w:t xml:space="preserve">                                                                         </w:t>
      </w:r>
    </w:p>
    <w:p>
      <w:pPr>
        <w:pStyle w:val="18"/>
        <w:ind w:leftChars="0" w:firstLine="0"/>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color w:val="auto"/>
          <w:sz w:val="24"/>
          <w:szCs w:val="24"/>
          <w:lang w:eastAsia="zh-CN"/>
        </w:rPr>
        <w:t>说明：</w:t>
      </w:r>
      <w:r>
        <w:rPr>
          <w:rFonts w:hint="eastAsia" w:ascii="仿宋_GB2312" w:hAnsi="仿宋_GB2312" w:eastAsia="仿宋_GB2312" w:cs="仿宋_GB2312"/>
          <w:b w:val="0"/>
          <w:bCs/>
          <w:color w:val="auto"/>
          <w:sz w:val="24"/>
          <w:szCs w:val="24"/>
          <w:lang w:eastAsia="zh-CN"/>
        </w:rPr>
        <w:t>投标单位自拟，须体现本项目总报价构成，包含的各类服务的单价等信息，下表仅作参考。</w:t>
      </w:r>
    </w:p>
    <w:p>
      <w:pPr>
        <w:pStyle w:val="4"/>
        <w:numPr>
          <w:ilvl w:val="0"/>
          <w:numId w:val="0"/>
        </w:numPr>
        <w:ind w:firstLine="8400" w:firstLineChars="3500"/>
        <w:jc w:val="both"/>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单位：元</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2236"/>
        <w:gridCol w:w="808"/>
        <w:gridCol w:w="735"/>
        <w:gridCol w:w="1110"/>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noWrap w:val="0"/>
            <w:vAlign w:val="center"/>
          </w:tcPr>
          <w:p>
            <w:pPr>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序号</w:t>
            </w:r>
          </w:p>
        </w:tc>
        <w:tc>
          <w:tcPr>
            <w:tcW w:w="1557" w:type="dxa"/>
            <w:noWrap w:val="0"/>
            <w:vAlign w:val="center"/>
          </w:tcPr>
          <w:p>
            <w:pPr>
              <w:jc w:val="center"/>
              <w:rPr>
                <w:rFonts w:hint="eastAsia" w:ascii="仿宋_GB2312" w:hAnsi="仿宋_GB2312" w:eastAsia="仿宋_GB2312" w:cs="仿宋_GB2312"/>
                <w:b/>
                <w:color w:val="auto"/>
                <w:sz w:val="24"/>
                <w:szCs w:val="24"/>
                <w:lang w:eastAsia="zh-CN"/>
              </w:rPr>
            </w:pPr>
            <w:r>
              <w:rPr>
                <w:rFonts w:hint="eastAsia" w:ascii="仿宋_GB2312" w:hAnsi="仿宋_GB2312" w:eastAsia="仿宋_GB2312" w:cs="仿宋_GB2312"/>
                <w:b/>
                <w:color w:val="auto"/>
                <w:sz w:val="24"/>
                <w:szCs w:val="24"/>
                <w:lang w:eastAsia="zh-CN"/>
              </w:rPr>
              <w:t>分项名称</w:t>
            </w:r>
          </w:p>
        </w:tc>
        <w:tc>
          <w:tcPr>
            <w:tcW w:w="2236" w:type="dxa"/>
            <w:noWrap w:val="0"/>
            <w:vAlign w:val="center"/>
          </w:tcPr>
          <w:p>
            <w:pPr>
              <w:jc w:val="center"/>
              <w:rPr>
                <w:rFonts w:hint="eastAsia" w:ascii="仿宋_GB2312" w:hAnsi="仿宋_GB2312" w:eastAsia="仿宋_GB2312" w:cs="仿宋_GB2312"/>
                <w:b/>
                <w:color w:val="auto"/>
                <w:sz w:val="24"/>
                <w:szCs w:val="24"/>
                <w:lang w:eastAsia="zh-CN"/>
              </w:rPr>
            </w:pPr>
            <w:r>
              <w:rPr>
                <w:rFonts w:hint="eastAsia" w:ascii="仿宋_GB2312" w:hAnsi="仿宋_GB2312" w:eastAsia="仿宋_GB2312" w:cs="仿宋_GB2312"/>
                <w:b/>
                <w:color w:val="auto"/>
                <w:sz w:val="24"/>
                <w:szCs w:val="24"/>
                <w:lang w:eastAsia="zh-CN"/>
              </w:rPr>
              <w:t>分项内容</w:t>
            </w:r>
          </w:p>
        </w:tc>
        <w:tc>
          <w:tcPr>
            <w:tcW w:w="808" w:type="dxa"/>
            <w:noWrap w:val="0"/>
            <w:vAlign w:val="center"/>
          </w:tcPr>
          <w:p>
            <w:pPr>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数量</w:t>
            </w:r>
          </w:p>
        </w:tc>
        <w:tc>
          <w:tcPr>
            <w:tcW w:w="735" w:type="dxa"/>
            <w:noWrap w:val="0"/>
            <w:vAlign w:val="center"/>
          </w:tcPr>
          <w:p>
            <w:pPr>
              <w:jc w:val="center"/>
              <w:rPr>
                <w:rFonts w:hint="eastAsia" w:ascii="仿宋_GB2312" w:hAnsi="仿宋_GB2312" w:eastAsia="仿宋_GB2312" w:cs="仿宋_GB2312"/>
                <w:b/>
                <w:color w:val="auto"/>
                <w:sz w:val="24"/>
                <w:szCs w:val="24"/>
                <w:lang w:eastAsia="zh-CN"/>
              </w:rPr>
            </w:pPr>
            <w:r>
              <w:rPr>
                <w:rFonts w:hint="eastAsia" w:ascii="仿宋_GB2312" w:hAnsi="仿宋_GB2312" w:eastAsia="仿宋_GB2312" w:cs="仿宋_GB2312"/>
                <w:b/>
                <w:color w:val="auto"/>
                <w:sz w:val="24"/>
                <w:szCs w:val="24"/>
                <w:lang w:eastAsia="zh-CN"/>
              </w:rPr>
              <w:t>单位</w:t>
            </w:r>
          </w:p>
        </w:tc>
        <w:tc>
          <w:tcPr>
            <w:tcW w:w="1110" w:type="dxa"/>
            <w:noWrap w:val="0"/>
            <w:vAlign w:val="center"/>
          </w:tcPr>
          <w:p>
            <w:pPr>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单价</w:t>
            </w:r>
          </w:p>
        </w:tc>
        <w:tc>
          <w:tcPr>
            <w:tcW w:w="1335" w:type="dxa"/>
            <w:noWrap w:val="0"/>
            <w:vAlign w:val="center"/>
          </w:tcPr>
          <w:p>
            <w:pPr>
              <w:jc w:val="center"/>
              <w:rPr>
                <w:rFonts w:hint="eastAsia" w:ascii="仿宋_GB2312" w:hAnsi="仿宋_GB2312" w:eastAsia="仿宋_GB2312" w:cs="仿宋_GB2312"/>
                <w:b/>
                <w:color w:val="auto"/>
                <w:sz w:val="24"/>
                <w:szCs w:val="24"/>
                <w:lang w:eastAsia="zh-CN"/>
              </w:rPr>
            </w:pPr>
            <w:r>
              <w:rPr>
                <w:rFonts w:hint="eastAsia" w:ascii="仿宋_GB2312" w:hAnsi="仿宋_GB2312" w:eastAsia="仿宋_GB2312" w:cs="仿宋_GB2312"/>
                <w:b/>
                <w:color w:val="auto"/>
                <w:sz w:val="24"/>
                <w:szCs w:val="24"/>
                <w:lang w:eastAsia="zh-CN"/>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pPr>
              <w:pStyle w:val="9"/>
              <w:spacing w:line="240" w:lineRule="atLeast"/>
              <w:jc w:val="both"/>
              <w:outlineLvl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1557" w:type="dxa"/>
            <w:noWrap w:val="0"/>
            <w:vAlign w:val="center"/>
          </w:tcPr>
          <w:p>
            <w:pPr>
              <w:jc w:val="center"/>
              <w:rPr>
                <w:rFonts w:hint="eastAsia" w:ascii="仿宋_GB2312" w:hAnsi="仿宋_GB2312" w:eastAsia="仿宋_GB2312" w:cs="仿宋_GB2312"/>
                <w:color w:val="auto"/>
                <w:sz w:val="24"/>
                <w:szCs w:val="24"/>
              </w:rPr>
            </w:pPr>
          </w:p>
        </w:tc>
        <w:tc>
          <w:tcPr>
            <w:tcW w:w="2236" w:type="dxa"/>
            <w:noWrap w:val="0"/>
            <w:vAlign w:val="top"/>
          </w:tcPr>
          <w:p>
            <w:pPr>
              <w:jc w:val="center"/>
              <w:rPr>
                <w:rFonts w:hint="eastAsia" w:ascii="仿宋_GB2312" w:hAnsi="仿宋_GB2312" w:eastAsia="仿宋_GB2312" w:cs="仿宋_GB2312"/>
                <w:color w:val="auto"/>
                <w:sz w:val="24"/>
                <w:szCs w:val="24"/>
              </w:rPr>
            </w:pPr>
          </w:p>
        </w:tc>
        <w:tc>
          <w:tcPr>
            <w:tcW w:w="808" w:type="dxa"/>
            <w:noWrap w:val="0"/>
            <w:vAlign w:val="center"/>
          </w:tcPr>
          <w:p>
            <w:pPr>
              <w:jc w:val="center"/>
              <w:rPr>
                <w:rFonts w:hint="eastAsia" w:ascii="仿宋_GB2312" w:hAnsi="仿宋_GB2312" w:eastAsia="仿宋_GB2312" w:cs="仿宋_GB2312"/>
                <w:color w:val="auto"/>
                <w:sz w:val="24"/>
                <w:szCs w:val="24"/>
              </w:rPr>
            </w:pPr>
          </w:p>
        </w:tc>
        <w:tc>
          <w:tcPr>
            <w:tcW w:w="735" w:type="dxa"/>
            <w:noWrap w:val="0"/>
            <w:vAlign w:val="top"/>
          </w:tcPr>
          <w:p>
            <w:pPr>
              <w:jc w:val="center"/>
              <w:rPr>
                <w:rFonts w:hint="eastAsia" w:ascii="仿宋_GB2312" w:hAnsi="仿宋_GB2312" w:eastAsia="仿宋_GB2312" w:cs="仿宋_GB2312"/>
                <w:color w:val="auto"/>
                <w:sz w:val="24"/>
                <w:szCs w:val="24"/>
              </w:rPr>
            </w:pPr>
          </w:p>
        </w:tc>
        <w:tc>
          <w:tcPr>
            <w:tcW w:w="1110" w:type="dxa"/>
            <w:noWrap w:val="0"/>
            <w:vAlign w:val="top"/>
          </w:tcPr>
          <w:p>
            <w:pPr>
              <w:jc w:val="center"/>
              <w:rPr>
                <w:rFonts w:hint="eastAsia" w:ascii="仿宋_GB2312" w:hAnsi="仿宋_GB2312" w:eastAsia="仿宋_GB2312" w:cs="仿宋_GB2312"/>
                <w:color w:val="auto"/>
                <w:sz w:val="24"/>
                <w:szCs w:val="24"/>
              </w:rPr>
            </w:pPr>
          </w:p>
        </w:tc>
        <w:tc>
          <w:tcPr>
            <w:tcW w:w="1335" w:type="dxa"/>
            <w:noWrap w:val="0"/>
            <w:vAlign w:val="top"/>
          </w:tcPr>
          <w:p>
            <w:pPr>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pPr>
              <w:pStyle w:val="9"/>
              <w:spacing w:line="240" w:lineRule="atLeast"/>
              <w:jc w:val="both"/>
              <w:outlineLvl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1557" w:type="dxa"/>
            <w:noWrap w:val="0"/>
            <w:vAlign w:val="center"/>
          </w:tcPr>
          <w:p>
            <w:pPr>
              <w:jc w:val="center"/>
              <w:rPr>
                <w:rFonts w:hint="eastAsia" w:ascii="仿宋_GB2312" w:hAnsi="仿宋_GB2312" w:eastAsia="仿宋_GB2312" w:cs="仿宋_GB2312"/>
                <w:color w:val="auto"/>
                <w:sz w:val="24"/>
                <w:szCs w:val="24"/>
              </w:rPr>
            </w:pPr>
          </w:p>
        </w:tc>
        <w:tc>
          <w:tcPr>
            <w:tcW w:w="2236" w:type="dxa"/>
            <w:noWrap w:val="0"/>
            <w:vAlign w:val="top"/>
          </w:tcPr>
          <w:p>
            <w:pPr>
              <w:jc w:val="center"/>
              <w:rPr>
                <w:rFonts w:hint="eastAsia" w:ascii="仿宋_GB2312" w:hAnsi="仿宋_GB2312" w:eastAsia="仿宋_GB2312" w:cs="仿宋_GB2312"/>
                <w:color w:val="auto"/>
                <w:sz w:val="24"/>
                <w:szCs w:val="24"/>
              </w:rPr>
            </w:pPr>
          </w:p>
        </w:tc>
        <w:tc>
          <w:tcPr>
            <w:tcW w:w="808" w:type="dxa"/>
            <w:noWrap w:val="0"/>
            <w:vAlign w:val="center"/>
          </w:tcPr>
          <w:p>
            <w:pPr>
              <w:jc w:val="center"/>
              <w:rPr>
                <w:rFonts w:hint="eastAsia" w:ascii="仿宋_GB2312" w:hAnsi="仿宋_GB2312" w:eastAsia="仿宋_GB2312" w:cs="仿宋_GB2312"/>
                <w:color w:val="auto"/>
                <w:sz w:val="24"/>
                <w:szCs w:val="24"/>
              </w:rPr>
            </w:pPr>
          </w:p>
        </w:tc>
        <w:tc>
          <w:tcPr>
            <w:tcW w:w="735" w:type="dxa"/>
            <w:noWrap w:val="0"/>
            <w:vAlign w:val="top"/>
          </w:tcPr>
          <w:p>
            <w:pPr>
              <w:jc w:val="center"/>
              <w:rPr>
                <w:rFonts w:hint="eastAsia" w:ascii="仿宋_GB2312" w:hAnsi="仿宋_GB2312" w:eastAsia="仿宋_GB2312" w:cs="仿宋_GB2312"/>
                <w:color w:val="auto"/>
                <w:sz w:val="24"/>
                <w:szCs w:val="24"/>
              </w:rPr>
            </w:pPr>
          </w:p>
        </w:tc>
        <w:tc>
          <w:tcPr>
            <w:tcW w:w="1110" w:type="dxa"/>
            <w:noWrap w:val="0"/>
            <w:vAlign w:val="top"/>
          </w:tcPr>
          <w:p>
            <w:pPr>
              <w:jc w:val="center"/>
              <w:rPr>
                <w:rFonts w:hint="eastAsia" w:ascii="仿宋_GB2312" w:hAnsi="仿宋_GB2312" w:eastAsia="仿宋_GB2312" w:cs="仿宋_GB2312"/>
                <w:color w:val="auto"/>
                <w:sz w:val="24"/>
                <w:szCs w:val="24"/>
              </w:rPr>
            </w:pPr>
          </w:p>
        </w:tc>
        <w:tc>
          <w:tcPr>
            <w:tcW w:w="1335" w:type="dxa"/>
            <w:noWrap w:val="0"/>
            <w:vAlign w:val="top"/>
          </w:tcPr>
          <w:p>
            <w:pPr>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pPr>
              <w:pStyle w:val="9"/>
              <w:spacing w:line="240" w:lineRule="atLeast"/>
              <w:jc w:val="both"/>
              <w:outlineLvl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1557" w:type="dxa"/>
            <w:noWrap w:val="0"/>
            <w:vAlign w:val="center"/>
          </w:tcPr>
          <w:p>
            <w:pPr>
              <w:jc w:val="center"/>
              <w:rPr>
                <w:rFonts w:hint="eastAsia" w:ascii="仿宋_GB2312" w:hAnsi="仿宋_GB2312" w:eastAsia="仿宋_GB2312" w:cs="仿宋_GB2312"/>
                <w:color w:val="auto"/>
                <w:sz w:val="24"/>
                <w:szCs w:val="24"/>
              </w:rPr>
            </w:pPr>
          </w:p>
        </w:tc>
        <w:tc>
          <w:tcPr>
            <w:tcW w:w="2236" w:type="dxa"/>
            <w:noWrap w:val="0"/>
            <w:vAlign w:val="top"/>
          </w:tcPr>
          <w:p>
            <w:pPr>
              <w:jc w:val="center"/>
              <w:rPr>
                <w:rFonts w:hint="eastAsia" w:ascii="仿宋_GB2312" w:hAnsi="仿宋_GB2312" w:eastAsia="仿宋_GB2312" w:cs="仿宋_GB2312"/>
                <w:color w:val="auto"/>
                <w:sz w:val="24"/>
                <w:szCs w:val="24"/>
              </w:rPr>
            </w:pPr>
          </w:p>
        </w:tc>
        <w:tc>
          <w:tcPr>
            <w:tcW w:w="808" w:type="dxa"/>
            <w:noWrap w:val="0"/>
            <w:vAlign w:val="center"/>
          </w:tcPr>
          <w:p>
            <w:pPr>
              <w:jc w:val="center"/>
              <w:rPr>
                <w:rFonts w:hint="eastAsia" w:ascii="仿宋_GB2312" w:hAnsi="仿宋_GB2312" w:eastAsia="仿宋_GB2312" w:cs="仿宋_GB2312"/>
                <w:color w:val="auto"/>
                <w:sz w:val="24"/>
                <w:szCs w:val="24"/>
              </w:rPr>
            </w:pPr>
          </w:p>
        </w:tc>
        <w:tc>
          <w:tcPr>
            <w:tcW w:w="735" w:type="dxa"/>
            <w:noWrap w:val="0"/>
            <w:vAlign w:val="top"/>
          </w:tcPr>
          <w:p>
            <w:pPr>
              <w:jc w:val="center"/>
              <w:rPr>
                <w:rFonts w:hint="eastAsia" w:ascii="仿宋_GB2312" w:hAnsi="仿宋_GB2312" w:eastAsia="仿宋_GB2312" w:cs="仿宋_GB2312"/>
                <w:color w:val="auto"/>
                <w:sz w:val="24"/>
                <w:szCs w:val="24"/>
              </w:rPr>
            </w:pPr>
          </w:p>
        </w:tc>
        <w:tc>
          <w:tcPr>
            <w:tcW w:w="1110" w:type="dxa"/>
            <w:noWrap w:val="0"/>
            <w:vAlign w:val="top"/>
          </w:tcPr>
          <w:p>
            <w:pPr>
              <w:jc w:val="center"/>
              <w:rPr>
                <w:rFonts w:hint="eastAsia" w:ascii="仿宋_GB2312" w:hAnsi="仿宋_GB2312" w:eastAsia="仿宋_GB2312" w:cs="仿宋_GB2312"/>
                <w:color w:val="auto"/>
                <w:sz w:val="24"/>
                <w:szCs w:val="24"/>
              </w:rPr>
            </w:pPr>
          </w:p>
        </w:tc>
        <w:tc>
          <w:tcPr>
            <w:tcW w:w="1335" w:type="dxa"/>
            <w:noWrap w:val="0"/>
            <w:vAlign w:val="top"/>
          </w:tcPr>
          <w:p>
            <w:pPr>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pPr>
              <w:pStyle w:val="9"/>
              <w:spacing w:line="240" w:lineRule="atLeast"/>
              <w:jc w:val="both"/>
              <w:outlineLvl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1557" w:type="dxa"/>
            <w:noWrap w:val="0"/>
            <w:vAlign w:val="center"/>
          </w:tcPr>
          <w:p>
            <w:pPr>
              <w:jc w:val="center"/>
              <w:rPr>
                <w:rFonts w:hint="eastAsia" w:ascii="仿宋_GB2312" w:hAnsi="仿宋_GB2312" w:eastAsia="仿宋_GB2312" w:cs="仿宋_GB2312"/>
                <w:color w:val="auto"/>
                <w:sz w:val="24"/>
                <w:szCs w:val="24"/>
              </w:rPr>
            </w:pPr>
          </w:p>
        </w:tc>
        <w:tc>
          <w:tcPr>
            <w:tcW w:w="2236" w:type="dxa"/>
            <w:noWrap w:val="0"/>
            <w:vAlign w:val="top"/>
          </w:tcPr>
          <w:p>
            <w:pPr>
              <w:jc w:val="center"/>
              <w:rPr>
                <w:rFonts w:hint="eastAsia" w:ascii="仿宋_GB2312" w:hAnsi="仿宋_GB2312" w:eastAsia="仿宋_GB2312" w:cs="仿宋_GB2312"/>
                <w:color w:val="auto"/>
                <w:sz w:val="24"/>
                <w:szCs w:val="24"/>
              </w:rPr>
            </w:pPr>
          </w:p>
        </w:tc>
        <w:tc>
          <w:tcPr>
            <w:tcW w:w="808" w:type="dxa"/>
            <w:noWrap w:val="0"/>
            <w:vAlign w:val="center"/>
          </w:tcPr>
          <w:p>
            <w:pPr>
              <w:jc w:val="center"/>
              <w:rPr>
                <w:rFonts w:hint="eastAsia" w:ascii="仿宋_GB2312" w:hAnsi="仿宋_GB2312" w:eastAsia="仿宋_GB2312" w:cs="仿宋_GB2312"/>
                <w:color w:val="auto"/>
                <w:sz w:val="24"/>
                <w:szCs w:val="24"/>
              </w:rPr>
            </w:pPr>
          </w:p>
        </w:tc>
        <w:tc>
          <w:tcPr>
            <w:tcW w:w="735" w:type="dxa"/>
            <w:noWrap w:val="0"/>
            <w:vAlign w:val="top"/>
          </w:tcPr>
          <w:p>
            <w:pPr>
              <w:jc w:val="center"/>
              <w:rPr>
                <w:rFonts w:hint="eastAsia" w:ascii="仿宋_GB2312" w:hAnsi="仿宋_GB2312" w:eastAsia="仿宋_GB2312" w:cs="仿宋_GB2312"/>
                <w:color w:val="auto"/>
                <w:sz w:val="24"/>
                <w:szCs w:val="24"/>
              </w:rPr>
            </w:pPr>
          </w:p>
        </w:tc>
        <w:tc>
          <w:tcPr>
            <w:tcW w:w="1110" w:type="dxa"/>
            <w:noWrap w:val="0"/>
            <w:vAlign w:val="top"/>
          </w:tcPr>
          <w:p>
            <w:pPr>
              <w:jc w:val="center"/>
              <w:rPr>
                <w:rFonts w:hint="eastAsia" w:ascii="仿宋_GB2312" w:hAnsi="仿宋_GB2312" w:eastAsia="仿宋_GB2312" w:cs="仿宋_GB2312"/>
                <w:color w:val="auto"/>
                <w:sz w:val="24"/>
                <w:szCs w:val="24"/>
              </w:rPr>
            </w:pPr>
          </w:p>
        </w:tc>
        <w:tc>
          <w:tcPr>
            <w:tcW w:w="1335" w:type="dxa"/>
            <w:noWrap w:val="0"/>
            <w:vAlign w:val="top"/>
          </w:tcPr>
          <w:p>
            <w:pPr>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pPr>
              <w:pStyle w:val="9"/>
              <w:spacing w:line="240" w:lineRule="atLeast"/>
              <w:jc w:val="both"/>
              <w:outlineLvl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p>
        </w:tc>
        <w:tc>
          <w:tcPr>
            <w:tcW w:w="1557" w:type="dxa"/>
            <w:noWrap w:val="0"/>
            <w:vAlign w:val="center"/>
          </w:tcPr>
          <w:p>
            <w:pPr>
              <w:jc w:val="center"/>
              <w:rPr>
                <w:rFonts w:hint="eastAsia" w:ascii="仿宋_GB2312" w:hAnsi="仿宋_GB2312" w:eastAsia="仿宋_GB2312" w:cs="仿宋_GB2312"/>
                <w:color w:val="auto"/>
                <w:sz w:val="24"/>
                <w:szCs w:val="24"/>
              </w:rPr>
            </w:pPr>
          </w:p>
        </w:tc>
        <w:tc>
          <w:tcPr>
            <w:tcW w:w="2236" w:type="dxa"/>
            <w:noWrap w:val="0"/>
            <w:vAlign w:val="top"/>
          </w:tcPr>
          <w:p>
            <w:pPr>
              <w:jc w:val="center"/>
              <w:rPr>
                <w:rFonts w:hint="eastAsia" w:ascii="仿宋_GB2312" w:hAnsi="仿宋_GB2312" w:eastAsia="仿宋_GB2312" w:cs="仿宋_GB2312"/>
                <w:color w:val="auto"/>
                <w:sz w:val="24"/>
                <w:szCs w:val="24"/>
              </w:rPr>
            </w:pPr>
          </w:p>
        </w:tc>
        <w:tc>
          <w:tcPr>
            <w:tcW w:w="808" w:type="dxa"/>
            <w:noWrap w:val="0"/>
            <w:vAlign w:val="center"/>
          </w:tcPr>
          <w:p>
            <w:pPr>
              <w:jc w:val="center"/>
              <w:rPr>
                <w:rFonts w:hint="eastAsia" w:ascii="仿宋_GB2312" w:hAnsi="仿宋_GB2312" w:eastAsia="仿宋_GB2312" w:cs="仿宋_GB2312"/>
                <w:color w:val="auto"/>
                <w:sz w:val="24"/>
                <w:szCs w:val="24"/>
              </w:rPr>
            </w:pPr>
          </w:p>
        </w:tc>
        <w:tc>
          <w:tcPr>
            <w:tcW w:w="735" w:type="dxa"/>
            <w:noWrap w:val="0"/>
            <w:vAlign w:val="top"/>
          </w:tcPr>
          <w:p>
            <w:pPr>
              <w:jc w:val="center"/>
              <w:rPr>
                <w:rFonts w:hint="eastAsia" w:ascii="仿宋_GB2312" w:hAnsi="仿宋_GB2312" w:eastAsia="仿宋_GB2312" w:cs="仿宋_GB2312"/>
                <w:color w:val="auto"/>
                <w:sz w:val="24"/>
                <w:szCs w:val="24"/>
              </w:rPr>
            </w:pPr>
          </w:p>
        </w:tc>
        <w:tc>
          <w:tcPr>
            <w:tcW w:w="1110" w:type="dxa"/>
            <w:noWrap w:val="0"/>
            <w:vAlign w:val="top"/>
          </w:tcPr>
          <w:p>
            <w:pPr>
              <w:jc w:val="center"/>
              <w:rPr>
                <w:rFonts w:hint="eastAsia" w:ascii="仿宋_GB2312" w:hAnsi="仿宋_GB2312" w:eastAsia="仿宋_GB2312" w:cs="仿宋_GB2312"/>
                <w:color w:val="auto"/>
                <w:sz w:val="24"/>
                <w:szCs w:val="24"/>
              </w:rPr>
            </w:pPr>
          </w:p>
        </w:tc>
        <w:tc>
          <w:tcPr>
            <w:tcW w:w="1335" w:type="dxa"/>
            <w:noWrap w:val="0"/>
            <w:vAlign w:val="top"/>
          </w:tcPr>
          <w:p>
            <w:pPr>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pPr>
              <w:pStyle w:val="9"/>
              <w:spacing w:line="240" w:lineRule="atLeast"/>
              <w:jc w:val="both"/>
              <w:outlineLvl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p>
        </w:tc>
        <w:tc>
          <w:tcPr>
            <w:tcW w:w="1557" w:type="dxa"/>
            <w:noWrap w:val="0"/>
            <w:vAlign w:val="center"/>
          </w:tcPr>
          <w:p>
            <w:pPr>
              <w:jc w:val="center"/>
              <w:rPr>
                <w:rFonts w:hint="eastAsia" w:ascii="仿宋_GB2312" w:hAnsi="仿宋_GB2312" w:eastAsia="仿宋_GB2312" w:cs="仿宋_GB2312"/>
                <w:color w:val="auto"/>
                <w:sz w:val="24"/>
                <w:szCs w:val="24"/>
              </w:rPr>
            </w:pPr>
          </w:p>
        </w:tc>
        <w:tc>
          <w:tcPr>
            <w:tcW w:w="2236" w:type="dxa"/>
            <w:noWrap w:val="0"/>
            <w:vAlign w:val="top"/>
          </w:tcPr>
          <w:p>
            <w:pPr>
              <w:jc w:val="center"/>
              <w:rPr>
                <w:rFonts w:hint="eastAsia" w:ascii="仿宋_GB2312" w:hAnsi="仿宋_GB2312" w:eastAsia="仿宋_GB2312" w:cs="仿宋_GB2312"/>
                <w:color w:val="auto"/>
                <w:sz w:val="24"/>
                <w:szCs w:val="24"/>
              </w:rPr>
            </w:pPr>
          </w:p>
        </w:tc>
        <w:tc>
          <w:tcPr>
            <w:tcW w:w="808" w:type="dxa"/>
            <w:noWrap w:val="0"/>
            <w:vAlign w:val="center"/>
          </w:tcPr>
          <w:p>
            <w:pPr>
              <w:jc w:val="center"/>
              <w:rPr>
                <w:rFonts w:hint="eastAsia" w:ascii="仿宋_GB2312" w:hAnsi="仿宋_GB2312" w:eastAsia="仿宋_GB2312" w:cs="仿宋_GB2312"/>
                <w:color w:val="auto"/>
                <w:sz w:val="24"/>
                <w:szCs w:val="24"/>
              </w:rPr>
            </w:pPr>
          </w:p>
        </w:tc>
        <w:tc>
          <w:tcPr>
            <w:tcW w:w="735" w:type="dxa"/>
            <w:noWrap w:val="0"/>
            <w:vAlign w:val="top"/>
          </w:tcPr>
          <w:p>
            <w:pPr>
              <w:jc w:val="center"/>
              <w:rPr>
                <w:rFonts w:hint="eastAsia" w:ascii="仿宋_GB2312" w:hAnsi="仿宋_GB2312" w:eastAsia="仿宋_GB2312" w:cs="仿宋_GB2312"/>
                <w:color w:val="auto"/>
                <w:sz w:val="24"/>
                <w:szCs w:val="24"/>
              </w:rPr>
            </w:pPr>
          </w:p>
        </w:tc>
        <w:tc>
          <w:tcPr>
            <w:tcW w:w="1110" w:type="dxa"/>
            <w:noWrap w:val="0"/>
            <w:vAlign w:val="top"/>
          </w:tcPr>
          <w:p>
            <w:pPr>
              <w:jc w:val="center"/>
              <w:rPr>
                <w:rFonts w:hint="eastAsia" w:ascii="仿宋_GB2312" w:hAnsi="仿宋_GB2312" w:eastAsia="仿宋_GB2312" w:cs="仿宋_GB2312"/>
                <w:color w:val="auto"/>
                <w:sz w:val="24"/>
                <w:szCs w:val="24"/>
              </w:rPr>
            </w:pPr>
          </w:p>
        </w:tc>
        <w:tc>
          <w:tcPr>
            <w:tcW w:w="1335" w:type="dxa"/>
            <w:noWrap w:val="0"/>
            <w:vAlign w:val="top"/>
          </w:tcPr>
          <w:p>
            <w:pPr>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pPr>
              <w:pStyle w:val="9"/>
              <w:spacing w:line="240" w:lineRule="atLeast"/>
              <w:jc w:val="both"/>
              <w:outlineLvl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w:t>
            </w:r>
          </w:p>
        </w:tc>
        <w:tc>
          <w:tcPr>
            <w:tcW w:w="1557" w:type="dxa"/>
            <w:noWrap w:val="0"/>
            <w:vAlign w:val="center"/>
          </w:tcPr>
          <w:p>
            <w:pPr>
              <w:jc w:val="center"/>
              <w:rPr>
                <w:rFonts w:hint="eastAsia" w:ascii="仿宋_GB2312" w:hAnsi="仿宋_GB2312" w:eastAsia="仿宋_GB2312" w:cs="仿宋_GB2312"/>
                <w:color w:val="auto"/>
                <w:sz w:val="24"/>
                <w:szCs w:val="24"/>
              </w:rPr>
            </w:pPr>
          </w:p>
        </w:tc>
        <w:tc>
          <w:tcPr>
            <w:tcW w:w="2236" w:type="dxa"/>
            <w:noWrap w:val="0"/>
            <w:vAlign w:val="top"/>
          </w:tcPr>
          <w:p>
            <w:pPr>
              <w:jc w:val="center"/>
              <w:rPr>
                <w:rFonts w:hint="eastAsia" w:ascii="仿宋_GB2312" w:hAnsi="仿宋_GB2312" w:eastAsia="仿宋_GB2312" w:cs="仿宋_GB2312"/>
                <w:color w:val="auto"/>
                <w:sz w:val="24"/>
                <w:szCs w:val="24"/>
              </w:rPr>
            </w:pPr>
          </w:p>
        </w:tc>
        <w:tc>
          <w:tcPr>
            <w:tcW w:w="808" w:type="dxa"/>
            <w:noWrap w:val="0"/>
            <w:vAlign w:val="center"/>
          </w:tcPr>
          <w:p>
            <w:pPr>
              <w:jc w:val="center"/>
              <w:rPr>
                <w:rFonts w:hint="eastAsia" w:ascii="仿宋_GB2312" w:hAnsi="仿宋_GB2312" w:eastAsia="仿宋_GB2312" w:cs="仿宋_GB2312"/>
                <w:color w:val="auto"/>
                <w:sz w:val="24"/>
                <w:szCs w:val="24"/>
              </w:rPr>
            </w:pPr>
          </w:p>
        </w:tc>
        <w:tc>
          <w:tcPr>
            <w:tcW w:w="735" w:type="dxa"/>
            <w:noWrap w:val="0"/>
            <w:vAlign w:val="top"/>
          </w:tcPr>
          <w:p>
            <w:pPr>
              <w:jc w:val="center"/>
              <w:rPr>
                <w:rFonts w:hint="eastAsia" w:ascii="仿宋_GB2312" w:hAnsi="仿宋_GB2312" w:eastAsia="仿宋_GB2312" w:cs="仿宋_GB2312"/>
                <w:color w:val="auto"/>
                <w:sz w:val="24"/>
                <w:szCs w:val="24"/>
              </w:rPr>
            </w:pPr>
          </w:p>
        </w:tc>
        <w:tc>
          <w:tcPr>
            <w:tcW w:w="1110" w:type="dxa"/>
            <w:noWrap w:val="0"/>
            <w:vAlign w:val="top"/>
          </w:tcPr>
          <w:p>
            <w:pPr>
              <w:jc w:val="center"/>
              <w:rPr>
                <w:rFonts w:hint="eastAsia" w:ascii="仿宋_GB2312" w:hAnsi="仿宋_GB2312" w:eastAsia="仿宋_GB2312" w:cs="仿宋_GB2312"/>
                <w:color w:val="auto"/>
                <w:sz w:val="24"/>
                <w:szCs w:val="24"/>
              </w:rPr>
            </w:pPr>
          </w:p>
        </w:tc>
        <w:tc>
          <w:tcPr>
            <w:tcW w:w="1335" w:type="dxa"/>
            <w:noWrap w:val="0"/>
            <w:vAlign w:val="top"/>
          </w:tcPr>
          <w:p>
            <w:pPr>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pPr>
              <w:pStyle w:val="9"/>
              <w:spacing w:line="240" w:lineRule="atLeast"/>
              <w:jc w:val="both"/>
              <w:outlineLvl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w:t>
            </w:r>
          </w:p>
        </w:tc>
        <w:tc>
          <w:tcPr>
            <w:tcW w:w="1557" w:type="dxa"/>
            <w:noWrap w:val="0"/>
            <w:vAlign w:val="center"/>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p>
        </w:tc>
        <w:tc>
          <w:tcPr>
            <w:tcW w:w="2236" w:type="dxa"/>
            <w:noWrap w:val="0"/>
            <w:vAlign w:val="top"/>
          </w:tcPr>
          <w:p>
            <w:pPr>
              <w:jc w:val="center"/>
              <w:rPr>
                <w:rFonts w:hint="eastAsia" w:ascii="仿宋_GB2312" w:hAnsi="仿宋_GB2312" w:eastAsia="仿宋_GB2312" w:cs="仿宋_GB2312"/>
                <w:color w:val="auto"/>
                <w:sz w:val="24"/>
                <w:szCs w:val="24"/>
              </w:rPr>
            </w:pPr>
          </w:p>
        </w:tc>
        <w:tc>
          <w:tcPr>
            <w:tcW w:w="808" w:type="dxa"/>
            <w:noWrap w:val="0"/>
            <w:vAlign w:val="center"/>
          </w:tcPr>
          <w:p>
            <w:pPr>
              <w:jc w:val="center"/>
              <w:rPr>
                <w:rFonts w:hint="eastAsia" w:ascii="仿宋_GB2312" w:hAnsi="仿宋_GB2312" w:eastAsia="仿宋_GB2312" w:cs="仿宋_GB2312"/>
                <w:color w:val="auto"/>
                <w:sz w:val="24"/>
                <w:szCs w:val="24"/>
              </w:rPr>
            </w:pPr>
          </w:p>
        </w:tc>
        <w:tc>
          <w:tcPr>
            <w:tcW w:w="735" w:type="dxa"/>
            <w:noWrap w:val="0"/>
            <w:vAlign w:val="top"/>
          </w:tcPr>
          <w:p>
            <w:pPr>
              <w:jc w:val="center"/>
              <w:rPr>
                <w:rFonts w:hint="eastAsia" w:ascii="仿宋_GB2312" w:hAnsi="仿宋_GB2312" w:eastAsia="仿宋_GB2312" w:cs="仿宋_GB2312"/>
                <w:color w:val="auto"/>
                <w:sz w:val="24"/>
                <w:szCs w:val="24"/>
              </w:rPr>
            </w:pPr>
          </w:p>
        </w:tc>
        <w:tc>
          <w:tcPr>
            <w:tcW w:w="1110" w:type="dxa"/>
            <w:noWrap w:val="0"/>
            <w:vAlign w:val="top"/>
          </w:tcPr>
          <w:p>
            <w:pPr>
              <w:jc w:val="center"/>
              <w:rPr>
                <w:rFonts w:hint="eastAsia" w:ascii="仿宋_GB2312" w:hAnsi="仿宋_GB2312" w:eastAsia="仿宋_GB2312" w:cs="仿宋_GB2312"/>
                <w:color w:val="auto"/>
                <w:sz w:val="24"/>
                <w:szCs w:val="24"/>
              </w:rPr>
            </w:pPr>
          </w:p>
        </w:tc>
        <w:tc>
          <w:tcPr>
            <w:tcW w:w="1335" w:type="dxa"/>
            <w:noWrap w:val="0"/>
            <w:vAlign w:val="top"/>
          </w:tcPr>
          <w:p>
            <w:pPr>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2496" w:type="dxa"/>
            <w:gridSpan w:val="2"/>
            <w:noWrap w:val="0"/>
            <w:vAlign w:val="center"/>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合</w:t>
            </w:r>
            <w:r>
              <w:rPr>
                <w:rFonts w:hint="eastAsia" w:ascii="仿宋_GB2312" w:hAnsi="仿宋_GB2312" w:eastAsia="仿宋_GB2312" w:cs="仿宋_GB2312"/>
                <w:color w:val="auto"/>
                <w:sz w:val="24"/>
                <w:szCs w:val="24"/>
              </w:rPr>
              <w:t>计</w:t>
            </w:r>
          </w:p>
        </w:tc>
        <w:tc>
          <w:tcPr>
            <w:tcW w:w="6224" w:type="dxa"/>
            <w:gridSpan w:val="5"/>
            <w:noWrap w:val="0"/>
            <w:vAlign w:val="top"/>
          </w:tcPr>
          <w:p>
            <w:pPr>
              <w:rPr>
                <w:rFonts w:hint="eastAsia" w:ascii="仿宋_GB2312" w:hAnsi="仿宋_GB2312" w:eastAsia="仿宋_GB2312" w:cs="仿宋_GB2312"/>
                <w:color w:val="auto"/>
                <w:sz w:val="24"/>
                <w:szCs w:val="24"/>
              </w:rPr>
            </w:pPr>
          </w:p>
        </w:tc>
      </w:tr>
    </w:tbl>
    <w:p>
      <w:pPr>
        <w:pStyle w:val="18"/>
        <w:ind w:leftChars="0" w:firstLine="0"/>
        <w:rPr>
          <w:rFonts w:hint="eastAsia" w:ascii="宋体" w:hAnsi="宋体" w:cs="宋体"/>
          <w:color w:val="auto"/>
          <w:highlight w:val="none"/>
          <w:lang w:val="zh-CN"/>
        </w:rPr>
      </w:pP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投标单位：                        （盖章）</w:t>
      </w: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法人或授权代表人：                （盖章）</w:t>
      </w:r>
    </w:p>
    <w:p>
      <w:pPr>
        <w:ind w:firstLine="6480" w:firstLineChars="27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年    月    日</w:t>
      </w:r>
    </w:p>
    <w:p>
      <w:pPr>
        <w:pStyle w:val="18"/>
        <w:ind w:leftChars="0" w:firstLine="0"/>
        <w:rPr>
          <w:rFonts w:hint="eastAsia" w:ascii="宋体" w:hAnsi="宋体" w:eastAsia="宋体" w:cs="宋体"/>
          <w:color w:val="auto"/>
          <w:highlight w:val="none"/>
          <w:lang w:val="zh-CN"/>
        </w:rPr>
      </w:pPr>
    </w:p>
    <w:p>
      <w:pPr>
        <w:pStyle w:val="18"/>
        <w:ind w:leftChars="0" w:firstLine="0"/>
        <w:rPr>
          <w:rFonts w:hint="eastAsia" w:ascii="宋体" w:hAnsi="宋体" w:eastAsia="宋体" w:cs="宋体"/>
          <w:color w:val="auto"/>
          <w:highlight w:val="none"/>
          <w:lang w:val="zh-CN"/>
        </w:rPr>
      </w:pPr>
    </w:p>
    <w:p>
      <w:pPr>
        <w:pStyle w:val="18"/>
        <w:ind w:leftChars="0" w:firstLine="0"/>
        <w:rPr>
          <w:rFonts w:hint="eastAsia" w:ascii="宋体" w:hAnsi="宋体" w:eastAsia="宋体" w:cs="宋体"/>
          <w:color w:val="auto"/>
          <w:highlight w:val="none"/>
          <w:lang w:val="zh-CN"/>
        </w:rPr>
      </w:pPr>
    </w:p>
    <w:p>
      <w:pPr>
        <w:pStyle w:val="18"/>
        <w:ind w:leftChars="0" w:firstLine="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七、项目响应偏离表</w:t>
      </w:r>
    </w:p>
    <w:tbl>
      <w:tblPr>
        <w:tblStyle w:val="19"/>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pPr>
              <w:tabs>
                <w:tab w:val="left" w:pos="6300"/>
              </w:tabs>
              <w:snapToGrid w:val="0"/>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844" w:type="dxa"/>
            <w:vAlign w:val="center"/>
          </w:tcPr>
          <w:p>
            <w:pPr>
              <w:tabs>
                <w:tab w:val="left" w:pos="6300"/>
              </w:tabs>
              <w:snapToGrid w:val="0"/>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采购需求</w:t>
            </w:r>
          </w:p>
        </w:tc>
        <w:tc>
          <w:tcPr>
            <w:tcW w:w="2952" w:type="dxa"/>
            <w:vAlign w:val="center"/>
          </w:tcPr>
          <w:p>
            <w:pPr>
              <w:tabs>
                <w:tab w:val="left" w:pos="6300"/>
              </w:tabs>
              <w:snapToGrid w:val="0"/>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响应情况</w:t>
            </w:r>
          </w:p>
        </w:tc>
        <w:tc>
          <w:tcPr>
            <w:tcW w:w="2212" w:type="dxa"/>
            <w:vAlign w:val="center"/>
          </w:tcPr>
          <w:p>
            <w:pPr>
              <w:tabs>
                <w:tab w:val="left" w:pos="6300"/>
              </w:tabs>
              <w:snapToGrid w:val="0"/>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宋体" w:hAnsi="宋体" w:eastAsia="宋体" w:cs="宋体"/>
                <w:color w:val="auto"/>
                <w:szCs w:val="21"/>
                <w:highlight w:val="none"/>
              </w:rPr>
            </w:pPr>
          </w:p>
        </w:tc>
        <w:tc>
          <w:tcPr>
            <w:tcW w:w="2844" w:type="dxa"/>
            <w:vAlign w:val="center"/>
          </w:tcPr>
          <w:p>
            <w:pPr>
              <w:tabs>
                <w:tab w:val="left" w:pos="6300"/>
              </w:tabs>
              <w:snapToGrid w:val="0"/>
              <w:jc w:val="center"/>
              <w:outlineLvl w:val="0"/>
              <w:rPr>
                <w:rFonts w:hint="eastAsia" w:ascii="宋体" w:hAnsi="宋体" w:eastAsia="宋体" w:cs="宋体"/>
                <w:color w:val="auto"/>
                <w:szCs w:val="21"/>
                <w:highlight w:val="none"/>
              </w:rPr>
            </w:pPr>
          </w:p>
        </w:tc>
        <w:tc>
          <w:tcPr>
            <w:tcW w:w="2952" w:type="dxa"/>
            <w:vAlign w:val="center"/>
          </w:tcPr>
          <w:p>
            <w:pPr>
              <w:tabs>
                <w:tab w:val="left" w:pos="6300"/>
              </w:tabs>
              <w:snapToGrid w:val="0"/>
              <w:jc w:val="center"/>
              <w:outlineLvl w:val="0"/>
              <w:rPr>
                <w:rFonts w:hint="eastAsia" w:ascii="宋体" w:hAnsi="宋体" w:eastAsia="宋体" w:cs="宋体"/>
                <w:color w:val="auto"/>
                <w:szCs w:val="21"/>
                <w:highlight w:val="none"/>
              </w:rPr>
            </w:pPr>
          </w:p>
        </w:tc>
        <w:tc>
          <w:tcPr>
            <w:tcW w:w="2212" w:type="dxa"/>
            <w:vAlign w:val="center"/>
          </w:tcPr>
          <w:p>
            <w:pPr>
              <w:tabs>
                <w:tab w:val="left" w:pos="6300"/>
              </w:tabs>
              <w:snapToGrid w:val="0"/>
              <w:jc w:val="center"/>
              <w:outlineLvl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宋体" w:hAnsi="宋体" w:eastAsia="宋体" w:cs="宋体"/>
                <w:color w:val="auto"/>
                <w:szCs w:val="21"/>
                <w:highlight w:val="none"/>
              </w:rPr>
            </w:pPr>
          </w:p>
        </w:tc>
        <w:tc>
          <w:tcPr>
            <w:tcW w:w="2844" w:type="dxa"/>
            <w:vAlign w:val="center"/>
          </w:tcPr>
          <w:p>
            <w:pPr>
              <w:tabs>
                <w:tab w:val="left" w:pos="6300"/>
              </w:tabs>
              <w:snapToGrid w:val="0"/>
              <w:jc w:val="center"/>
              <w:outlineLvl w:val="0"/>
              <w:rPr>
                <w:rFonts w:hint="eastAsia" w:ascii="宋体" w:hAnsi="宋体" w:eastAsia="宋体" w:cs="宋体"/>
                <w:color w:val="auto"/>
                <w:szCs w:val="21"/>
                <w:highlight w:val="none"/>
              </w:rPr>
            </w:pPr>
          </w:p>
        </w:tc>
        <w:tc>
          <w:tcPr>
            <w:tcW w:w="2952" w:type="dxa"/>
            <w:vAlign w:val="center"/>
          </w:tcPr>
          <w:p>
            <w:pPr>
              <w:tabs>
                <w:tab w:val="left" w:pos="6300"/>
              </w:tabs>
              <w:snapToGrid w:val="0"/>
              <w:jc w:val="center"/>
              <w:outlineLvl w:val="0"/>
              <w:rPr>
                <w:rFonts w:hint="eastAsia" w:ascii="宋体" w:hAnsi="宋体" w:eastAsia="宋体" w:cs="宋体"/>
                <w:color w:val="auto"/>
                <w:szCs w:val="21"/>
                <w:highlight w:val="none"/>
              </w:rPr>
            </w:pPr>
          </w:p>
        </w:tc>
        <w:tc>
          <w:tcPr>
            <w:tcW w:w="2212" w:type="dxa"/>
            <w:vAlign w:val="center"/>
          </w:tcPr>
          <w:p>
            <w:pPr>
              <w:tabs>
                <w:tab w:val="left" w:pos="6300"/>
              </w:tabs>
              <w:snapToGrid w:val="0"/>
              <w:jc w:val="center"/>
              <w:outlineLvl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宋体" w:hAnsi="宋体" w:eastAsia="宋体" w:cs="宋体"/>
                <w:color w:val="auto"/>
                <w:szCs w:val="21"/>
                <w:highlight w:val="none"/>
              </w:rPr>
            </w:pPr>
          </w:p>
        </w:tc>
        <w:tc>
          <w:tcPr>
            <w:tcW w:w="2844" w:type="dxa"/>
            <w:vAlign w:val="center"/>
          </w:tcPr>
          <w:p>
            <w:pPr>
              <w:tabs>
                <w:tab w:val="left" w:pos="6300"/>
              </w:tabs>
              <w:snapToGrid w:val="0"/>
              <w:jc w:val="center"/>
              <w:outlineLvl w:val="0"/>
              <w:rPr>
                <w:rFonts w:hint="eastAsia" w:ascii="宋体" w:hAnsi="宋体" w:eastAsia="宋体" w:cs="宋体"/>
                <w:color w:val="auto"/>
                <w:szCs w:val="21"/>
                <w:highlight w:val="none"/>
              </w:rPr>
            </w:pPr>
          </w:p>
        </w:tc>
        <w:tc>
          <w:tcPr>
            <w:tcW w:w="2952" w:type="dxa"/>
            <w:vAlign w:val="center"/>
          </w:tcPr>
          <w:p>
            <w:pPr>
              <w:tabs>
                <w:tab w:val="left" w:pos="6300"/>
              </w:tabs>
              <w:snapToGrid w:val="0"/>
              <w:jc w:val="center"/>
              <w:outlineLvl w:val="0"/>
              <w:rPr>
                <w:rFonts w:hint="eastAsia" w:ascii="宋体" w:hAnsi="宋体" w:eastAsia="宋体" w:cs="宋体"/>
                <w:color w:val="auto"/>
                <w:szCs w:val="21"/>
                <w:highlight w:val="none"/>
              </w:rPr>
            </w:pPr>
          </w:p>
        </w:tc>
        <w:tc>
          <w:tcPr>
            <w:tcW w:w="2212" w:type="dxa"/>
            <w:vAlign w:val="center"/>
          </w:tcPr>
          <w:p>
            <w:pPr>
              <w:tabs>
                <w:tab w:val="left" w:pos="6300"/>
              </w:tabs>
              <w:snapToGrid w:val="0"/>
              <w:jc w:val="center"/>
              <w:outlineLvl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宋体" w:hAnsi="宋体" w:eastAsia="宋体" w:cs="宋体"/>
                <w:color w:val="auto"/>
                <w:szCs w:val="21"/>
                <w:highlight w:val="none"/>
              </w:rPr>
            </w:pPr>
          </w:p>
        </w:tc>
        <w:tc>
          <w:tcPr>
            <w:tcW w:w="2844" w:type="dxa"/>
            <w:vAlign w:val="center"/>
          </w:tcPr>
          <w:p>
            <w:pPr>
              <w:tabs>
                <w:tab w:val="left" w:pos="6300"/>
              </w:tabs>
              <w:snapToGrid w:val="0"/>
              <w:jc w:val="center"/>
              <w:outlineLvl w:val="0"/>
              <w:rPr>
                <w:rFonts w:hint="eastAsia" w:ascii="宋体" w:hAnsi="宋体" w:eastAsia="宋体" w:cs="宋体"/>
                <w:color w:val="auto"/>
                <w:szCs w:val="21"/>
                <w:highlight w:val="none"/>
              </w:rPr>
            </w:pPr>
          </w:p>
        </w:tc>
        <w:tc>
          <w:tcPr>
            <w:tcW w:w="2952" w:type="dxa"/>
            <w:vAlign w:val="center"/>
          </w:tcPr>
          <w:p>
            <w:pPr>
              <w:tabs>
                <w:tab w:val="left" w:pos="6300"/>
              </w:tabs>
              <w:snapToGrid w:val="0"/>
              <w:jc w:val="center"/>
              <w:outlineLvl w:val="0"/>
              <w:rPr>
                <w:rFonts w:hint="eastAsia" w:ascii="宋体" w:hAnsi="宋体" w:eastAsia="宋体" w:cs="宋体"/>
                <w:color w:val="auto"/>
                <w:szCs w:val="21"/>
                <w:highlight w:val="none"/>
              </w:rPr>
            </w:pPr>
          </w:p>
        </w:tc>
        <w:tc>
          <w:tcPr>
            <w:tcW w:w="2212" w:type="dxa"/>
            <w:vAlign w:val="center"/>
          </w:tcPr>
          <w:p>
            <w:pPr>
              <w:tabs>
                <w:tab w:val="left" w:pos="6300"/>
              </w:tabs>
              <w:snapToGrid w:val="0"/>
              <w:jc w:val="center"/>
              <w:outlineLvl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宋体" w:hAnsi="宋体" w:eastAsia="宋体" w:cs="宋体"/>
                <w:color w:val="auto"/>
                <w:szCs w:val="21"/>
                <w:highlight w:val="none"/>
              </w:rPr>
            </w:pPr>
          </w:p>
        </w:tc>
        <w:tc>
          <w:tcPr>
            <w:tcW w:w="2844" w:type="dxa"/>
            <w:vAlign w:val="center"/>
          </w:tcPr>
          <w:p>
            <w:pPr>
              <w:tabs>
                <w:tab w:val="left" w:pos="6300"/>
              </w:tabs>
              <w:snapToGrid w:val="0"/>
              <w:jc w:val="center"/>
              <w:outlineLvl w:val="0"/>
              <w:rPr>
                <w:rFonts w:hint="eastAsia" w:ascii="宋体" w:hAnsi="宋体" w:eastAsia="宋体" w:cs="宋体"/>
                <w:color w:val="auto"/>
                <w:szCs w:val="21"/>
                <w:highlight w:val="none"/>
              </w:rPr>
            </w:pPr>
          </w:p>
        </w:tc>
        <w:tc>
          <w:tcPr>
            <w:tcW w:w="2952" w:type="dxa"/>
            <w:vAlign w:val="center"/>
          </w:tcPr>
          <w:p>
            <w:pPr>
              <w:tabs>
                <w:tab w:val="left" w:pos="6300"/>
              </w:tabs>
              <w:snapToGrid w:val="0"/>
              <w:jc w:val="center"/>
              <w:outlineLvl w:val="0"/>
              <w:rPr>
                <w:rFonts w:hint="eastAsia" w:ascii="宋体" w:hAnsi="宋体" w:eastAsia="宋体" w:cs="宋体"/>
                <w:color w:val="auto"/>
                <w:szCs w:val="21"/>
                <w:highlight w:val="none"/>
              </w:rPr>
            </w:pPr>
          </w:p>
        </w:tc>
        <w:tc>
          <w:tcPr>
            <w:tcW w:w="2212" w:type="dxa"/>
            <w:vAlign w:val="center"/>
          </w:tcPr>
          <w:p>
            <w:pPr>
              <w:tabs>
                <w:tab w:val="left" w:pos="6300"/>
              </w:tabs>
              <w:snapToGrid w:val="0"/>
              <w:jc w:val="center"/>
              <w:outlineLvl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宋体" w:hAnsi="宋体" w:eastAsia="宋体" w:cs="宋体"/>
                <w:color w:val="auto"/>
                <w:szCs w:val="21"/>
                <w:highlight w:val="none"/>
              </w:rPr>
            </w:pPr>
          </w:p>
        </w:tc>
        <w:tc>
          <w:tcPr>
            <w:tcW w:w="2844" w:type="dxa"/>
            <w:vAlign w:val="center"/>
          </w:tcPr>
          <w:p>
            <w:pPr>
              <w:tabs>
                <w:tab w:val="left" w:pos="6300"/>
              </w:tabs>
              <w:snapToGrid w:val="0"/>
              <w:jc w:val="center"/>
              <w:outlineLvl w:val="0"/>
              <w:rPr>
                <w:rFonts w:hint="eastAsia" w:ascii="宋体" w:hAnsi="宋体" w:eastAsia="宋体" w:cs="宋体"/>
                <w:color w:val="auto"/>
                <w:szCs w:val="21"/>
                <w:highlight w:val="none"/>
              </w:rPr>
            </w:pPr>
          </w:p>
        </w:tc>
        <w:tc>
          <w:tcPr>
            <w:tcW w:w="2952" w:type="dxa"/>
            <w:vAlign w:val="center"/>
          </w:tcPr>
          <w:p>
            <w:pPr>
              <w:tabs>
                <w:tab w:val="left" w:pos="6300"/>
              </w:tabs>
              <w:snapToGrid w:val="0"/>
              <w:jc w:val="center"/>
              <w:outlineLvl w:val="0"/>
              <w:rPr>
                <w:rFonts w:hint="eastAsia" w:ascii="宋体" w:hAnsi="宋体" w:eastAsia="宋体" w:cs="宋体"/>
                <w:color w:val="auto"/>
                <w:szCs w:val="21"/>
                <w:highlight w:val="none"/>
              </w:rPr>
            </w:pPr>
          </w:p>
        </w:tc>
        <w:tc>
          <w:tcPr>
            <w:tcW w:w="2212" w:type="dxa"/>
            <w:vAlign w:val="center"/>
          </w:tcPr>
          <w:p>
            <w:pPr>
              <w:tabs>
                <w:tab w:val="left" w:pos="6300"/>
              </w:tabs>
              <w:snapToGrid w:val="0"/>
              <w:jc w:val="center"/>
              <w:outlineLvl w:val="0"/>
              <w:rPr>
                <w:rFonts w:hint="eastAsia" w:ascii="宋体" w:hAnsi="宋体" w:eastAsia="宋体" w:cs="宋体"/>
                <w:color w:val="auto"/>
                <w:szCs w:val="21"/>
                <w:highlight w:val="none"/>
              </w:rPr>
            </w:pPr>
          </w:p>
        </w:tc>
      </w:tr>
    </w:tbl>
    <w:p>
      <w:pPr>
        <w:tabs>
          <w:tab w:val="left" w:pos="6300"/>
        </w:tabs>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pStyle w:val="3"/>
        <w:spacing w:beforeLines="0" w:afterLines="0" w:line="360" w:lineRule="auto"/>
        <w:ind w:left="420" w:leftChars="200"/>
        <w:jc w:val="both"/>
        <w:rPr>
          <w:rFonts w:hint="eastAsia" w:ascii="宋体" w:hAnsi="宋体" w:eastAsia="宋体" w:cs="宋体"/>
          <w:color w:val="auto"/>
          <w:sz w:val="24"/>
          <w:szCs w:val="24"/>
          <w:highlight w:val="none"/>
        </w:rPr>
      </w:pPr>
      <w:bookmarkStart w:id="64" w:name="_Toc89868493"/>
      <w:r>
        <w:rPr>
          <w:rFonts w:hint="eastAsia" w:ascii="宋体" w:hAnsi="宋体" w:eastAsia="宋体" w:cs="宋体"/>
          <w:color w:val="auto"/>
          <w:sz w:val="24"/>
          <w:szCs w:val="24"/>
          <w:highlight w:val="none"/>
        </w:rPr>
        <w:t xml:space="preserve">1、本表即为对本项目“第二篇 </w:t>
      </w:r>
      <w:r>
        <w:rPr>
          <w:rFonts w:hint="eastAsia" w:ascii="宋体" w:hAnsi="宋体" w:eastAsia="宋体" w:cs="宋体"/>
          <w:color w:val="auto"/>
          <w:sz w:val="24"/>
          <w:szCs w:val="24"/>
          <w:highlight w:val="none"/>
          <w:lang w:eastAsia="zh-CN"/>
        </w:rPr>
        <w:t>、第三篇</w:t>
      </w:r>
      <w:r>
        <w:rPr>
          <w:rFonts w:hint="eastAsia" w:ascii="宋体" w:hAnsi="宋体" w:eastAsia="宋体" w:cs="宋体"/>
          <w:color w:val="auto"/>
          <w:sz w:val="24"/>
          <w:szCs w:val="24"/>
          <w:highlight w:val="none"/>
        </w:rPr>
        <w:t>”中所列要求</w:t>
      </w:r>
      <w:r>
        <w:rPr>
          <w:rFonts w:hint="eastAsia" w:ascii="宋体" w:hAnsi="宋体" w:eastAsia="宋体" w:cs="宋体"/>
          <w:color w:val="auto"/>
          <w:sz w:val="24"/>
          <w:szCs w:val="24"/>
          <w:highlight w:val="none"/>
          <w:lang w:eastAsia="zh-CN"/>
        </w:rPr>
        <w:t>逐一</w:t>
      </w:r>
      <w:r>
        <w:rPr>
          <w:rFonts w:hint="eastAsia" w:ascii="宋体" w:hAnsi="宋体" w:eastAsia="宋体" w:cs="宋体"/>
          <w:color w:val="auto"/>
          <w:sz w:val="24"/>
          <w:szCs w:val="24"/>
          <w:highlight w:val="none"/>
        </w:rPr>
        <w:t>进行比较和响应</w:t>
      </w:r>
      <w:r>
        <w:rPr>
          <w:rFonts w:hint="eastAsia" w:ascii="宋体" w:hAnsi="宋体" w:eastAsia="宋体" w:cs="宋体"/>
          <w:color w:val="auto"/>
          <w:sz w:val="24"/>
          <w:szCs w:val="24"/>
          <w:highlight w:val="none"/>
          <w:lang w:eastAsia="zh-CN"/>
        </w:rPr>
        <w:t>，可具体分为项目服务要求响应偏离表，项目商务要求偏离表</w:t>
      </w:r>
      <w:r>
        <w:rPr>
          <w:rFonts w:hint="eastAsia" w:ascii="宋体" w:hAnsi="宋体" w:eastAsia="宋体" w:cs="宋体"/>
          <w:color w:val="auto"/>
          <w:sz w:val="24"/>
          <w:szCs w:val="24"/>
          <w:highlight w:val="none"/>
        </w:rPr>
        <w:t>；</w:t>
      </w:r>
      <w:bookmarkEnd w:id="64"/>
    </w:p>
    <w:p>
      <w:pPr>
        <w:pStyle w:val="3"/>
        <w:spacing w:beforeLines="0" w:afterLines="0" w:line="360" w:lineRule="auto"/>
        <w:ind w:left="420" w:leftChars="200"/>
        <w:jc w:val="both"/>
        <w:rPr>
          <w:rFonts w:hint="eastAsia" w:ascii="宋体" w:hAnsi="宋体" w:eastAsia="宋体" w:cs="宋体"/>
          <w:color w:val="auto"/>
          <w:sz w:val="24"/>
          <w:szCs w:val="24"/>
          <w:highlight w:val="none"/>
        </w:rPr>
      </w:pPr>
      <w:bookmarkStart w:id="65" w:name="_Toc89868494"/>
      <w:r>
        <w:rPr>
          <w:rFonts w:hint="eastAsia" w:ascii="宋体" w:hAnsi="宋体" w:eastAsia="宋体" w:cs="宋体"/>
          <w:color w:val="auto"/>
          <w:sz w:val="24"/>
          <w:szCs w:val="24"/>
          <w:highlight w:val="none"/>
        </w:rPr>
        <w:t>2、该表必须按照</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采购要求逐条如实填写，根据响应情况在“差异说明”项填写正偏离</w:t>
      </w:r>
      <w:r>
        <w:rPr>
          <w:rFonts w:hint="eastAsia" w:ascii="宋体" w:hAnsi="宋体" w:eastAsia="宋体" w:cs="宋体"/>
          <w:color w:val="auto"/>
          <w:sz w:val="24"/>
          <w:szCs w:val="24"/>
          <w:highlight w:val="none"/>
          <w:lang w:eastAsia="zh-CN"/>
        </w:rPr>
        <w:t>、负偏离</w:t>
      </w:r>
      <w:r>
        <w:rPr>
          <w:rFonts w:hint="eastAsia" w:ascii="宋体" w:hAnsi="宋体" w:eastAsia="宋体" w:cs="宋体"/>
          <w:color w:val="auto"/>
          <w:sz w:val="24"/>
          <w:szCs w:val="24"/>
          <w:highlight w:val="none"/>
        </w:rPr>
        <w:t>及原因，完全符合的填写“无差异”；</w:t>
      </w:r>
      <w:bookmarkEnd w:id="65"/>
    </w:p>
    <w:p>
      <w:pPr>
        <w:pStyle w:val="3"/>
        <w:spacing w:beforeLines="0" w:afterLines="0" w:line="360" w:lineRule="auto"/>
        <w:ind w:left="420" w:leftChars="200"/>
        <w:jc w:val="both"/>
        <w:rPr>
          <w:rFonts w:hint="eastAsia" w:ascii="宋体" w:hAnsi="宋体" w:eastAsia="宋体" w:cs="宋体"/>
          <w:color w:val="auto"/>
          <w:sz w:val="24"/>
          <w:szCs w:val="24"/>
          <w:highlight w:val="none"/>
        </w:rPr>
      </w:pPr>
      <w:bookmarkStart w:id="66" w:name="_Toc89868495"/>
      <w:r>
        <w:rPr>
          <w:rFonts w:hint="eastAsia" w:ascii="宋体" w:hAnsi="宋体" w:eastAsia="宋体" w:cs="宋体"/>
          <w:color w:val="auto"/>
          <w:sz w:val="24"/>
          <w:szCs w:val="24"/>
          <w:highlight w:val="none"/>
        </w:rPr>
        <w:t>3、该表可扩展，并逐页签字或盖章；</w:t>
      </w:r>
      <w:bookmarkEnd w:id="66"/>
    </w:p>
    <w:p>
      <w:pPr>
        <w:pStyle w:val="3"/>
        <w:spacing w:beforeLines="0" w:afterLines="0" w:line="360" w:lineRule="auto"/>
        <w:ind w:left="420" w:leftChars="200"/>
        <w:jc w:val="both"/>
        <w:rPr>
          <w:rFonts w:hint="eastAsia" w:ascii="宋体" w:hAnsi="宋体" w:eastAsia="宋体" w:cs="宋体"/>
          <w:color w:val="auto"/>
          <w:sz w:val="24"/>
          <w:szCs w:val="24"/>
          <w:highlight w:val="none"/>
        </w:rPr>
      </w:pPr>
      <w:bookmarkStart w:id="67" w:name="_Toc89868496"/>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可</w:t>
      </w:r>
      <w:r>
        <w:rPr>
          <w:rFonts w:hint="eastAsia" w:ascii="宋体" w:hAnsi="宋体" w:eastAsia="宋体" w:cs="宋体"/>
          <w:color w:val="auto"/>
          <w:sz w:val="24"/>
          <w:szCs w:val="24"/>
          <w:highlight w:val="none"/>
        </w:rPr>
        <w:t>附相关技术支撑材料（格式自定）；</w:t>
      </w:r>
      <w:bookmarkEnd w:id="67"/>
    </w:p>
    <w:p>
      <w:pPr>
        <w:pStyle w:val="3"/>
        <w:spacing w:beforeLines="0" w:afterLines="0" w:line="360" w:lineRule="auto"/>
        <w:ind w:left="420" w:leftChars="200"/>
        <w:jc w:val="both"/>
        <w:rPr>
          <w:rFonts w:hint="eastAsia" w:ascii="宋体" w:hAnsi="宋体" w:eastAsia="宋体" w:cs="宋体"/>
          <w:color w:val="auto"/>
          <w:sz w:val="24"/>
          <w:szCs w:val="24"/>
          <w:highlight w:val="none"/>
        </w:rPr>
      </w:pPr>
      <w:bookmarkStart w:id="68" w:name="_Toc89868497"/>
      <w:r>
        <w:rPr>
          <w:rFonts w:hint="eastAsia" w:ascii="宋体" w:hAnsi="宋体" w:eastAsia="宋体" w:cs="宋体"/>
          <w:color w:val="auto"/>
          <w:sz w:val="24"/>
          <w:szCs w:val="24"/>
          <w:highlight w:val="none"/>
        </w:rPr>
        <w:t>5、若“响应情况”栏中仅填写“无偏离”或“有偏离”等内容而未作实质性参数描述</w:t>
      </w:r>
      <w:r>
        <w:rPr>
          <w:rFonts w:hint="eastAsia" w:ascii="宋体" w:hAnsi="宋体" w:eastAsia="宋体" w:cs="宋体"/>
          <w:color w:val="auto"/>
          <w:sz w:val="24"/>
          <w:szCs w:val="24"/>
          <w:highlight w:val="none"/>
          <w:lang w:eastAsia="zh-CN"/>
        </w:rPr>
        <w:t>或提供支撑证明材料的</w:t>
      </w:r>
      <w:r>
        <w:rPr>
          <w:rFonts w:hint="eastAsia" w:ascii="宋体" w:hAnsi="宋体" w:eastAsia="宋体" w:cs="宋体"/>
          <w:color w:val="auto"/>
          <w:sz w:val="24"/>
          <w:szCs w:val="24"/>
          <w:highlight w:val="none"/>
        </w:rPr>
        <w:t>，该供应商将失去成为成交供应商的资格，仅保留其合格供应商的身份。</w:t>
      </w:r>
      <w:bookmarkEnd w:id="68"/>
    </w:p>
    <w:p>
      <w:pPr>
        <w:autoSpaceDE w:val="0"/>
        <w:autoSpaceDN w:val="0"/>
        <w:adjustRightInd w:val="0"/>
        <w:snapToGrid w:val="0"/>
        <w:spacing w:line="360" w:lineRule="auto"/>
        <w:rPr>
          <w:rFonts w:hint="eastAsia" w:ascii="宋体" w:hAnsi="宋体" w:eastAsia="宋体" w:cs="宋体"/>
          <w:color w:val="auto"/>
          <w:sz w:val="24"/>
          <w:highlight w:val="none"/>
          <w:lang w:val="zh-CN"/>
        </w:rPr>
      </w:pP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投标单位：                        （盖章）</w:t>
      </w: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法人或授权代表人：                （盖章）</w:t>
      </w:r>
    </w:p>
    <w:p>
      <w:pPr>
        <w:ind w:firstLine="6480" w:firstLineChars="27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年    月    日</w:t>
      </w:r>
    </w:p>
    <w:p>
      <w:pPr>
        <w:tabs>
          <w:tab w:val="left" w:pos="6300"/>
        </w:tabs>
        <w:snapToGrid w:val="0"/>
        <w:spacing w:line="500" w:lineRule="exact"/>
        <w:ind w:firstLine="420" w:firstLineChars="200"/>
        <w:rPr>
          <w:rFonts w:hint="eastAsia" w:ascii="微软雅黑" w:hAnsi="微软雅黑" w:eastAsia="微软雅黑"/>
          <w:b/>
          <w:bCs/>
          <w:color w:val="auto"/>
          <w:szCs w:val="21"/>
          <w:highlight w:val="none"/>
          <w:lang w:eastAsia="zh-CN"/>
        </w:rPr>
      </w:pPr>
      <w:r>
        <w:rPr>
          <w:rFonts w:hint="eastAsia" w:ascii="微软雅黑" w:hAnsi="微软雅黑" w:eastAsia="微软雅黑"/>
          <w:b/>
          <w:bCs/>
          <w:color w:val="auto"/>
          <w:szCs w:val="21"/>
          <w:highlight w:val="none"/>
          <w:lang w:eastAsia="zh-CN"/>
        </w:rPr>
        <w:t>八、书面声明</w:t>
      </w:r>
    </w:p>
    <w:p>
      <w:pPr>
        <w:tabs>
          <w:tab w:val="left" w:pos="6300"/>
        </w:tabs>
        <w:snapToGrid w:val="0"/>
        <w:spacing w:line="500" w:lineRule="exact"/>
        <w:ind w:firstLine="420" w:firstLineChars="200"/>
        <w:rPr>
          <w:rFonts w:ascii="微软雅黑" w:hAnsi="微软雅黑" w:eastAsia="微软雅黑"/>
          <w:color w:val="auto"/>
          <w:szCs w:val="21"/>
          <w:highlight w:val="none"/>
        </w:rPr>
      </w:pPr>
      <w:r>
        <w:rPr>
          <w:rFonts w:hint="eastAsia" w:ascii="微软雅黑" w:hAnsi="微软雅黑" w:eastAsia="微软雅黑"/>
          <w:color w:val="auto"/>
          <w:szCs w:val="21"/>
          <w:highlight w:val="none"/>
        </w:rPr>
        <w:t>招标项目名称：</w:t>
      </w:r>
    </w:p>
    <w:p>
      <w:pPr>
        <w:tabs>
          <w:tab w:val="left" w:pos="6300"/>
        </w:tabs>
        <w:snapToGrid w:val="0"/>
        <w:spacing w:line="500" w:lineRule="exact"/>
        <w:ind w:firstLine="570"/>
        <w:rPr>
          <w:rFonts w:ascii="微软雅黑" w:hAnsi="微软雅黑" w:eastAsia="微软雅黑"/>
          <w:color w:val="auto"/>
          <w:szCs w:val="21"/>
          <w:highlight w:val="none"/>
        </w:rPr>
      </w:pPr>
    </w:p>
    <w:p>
      <w:pPr>
        <w:tabs>
          <w:tab w:val="left" w:pos="6300"/>
        </w:tabs>
        <w:snapToGrid w:val="0"/>
        <w:spacing w:line="500" w:lineRule="exact"/>
        <w:ind w:firstLine="420" w:firstLineChars="200"/>
        <w:rPr>
          <w:rFonts w:ascii="微软雅黑" w:hAnsi="微软雅黑" w:eastAsia="微软雅黑"/>
          <w:color w:val="auto"/>
          <w:szCs w:val="21"/>
          <w:highlight w:val="none"/>
        </w:rPr>
      </w:pPr>
      <w:r>
        <w:rPr>
          <w:rFonts w:hint="eastAsia" w:ascii="微软雅黑" w:hAnsi="微软雅黑" w:eastAsia="微软雅黑"/>
          <w:color w:val="auto"/>
          <w:szCs w:val="21"/>
          <w:highlight w:val="none"/>
        </w:rPr>
        <w:t>致</w:t>
      </w:r>
      <w:r>
        <w:rPr>
          <w:rFonts w:hint="eastAsia" w:ascii="微软雅黑" w:hAnsi="微软雅黑" w:eastAsia="微软雅黑"/>
          <w:color w:val="auto"/>
          <w:szCs w:val="21"/>
          <w:highlight w:val="none"/>
          <w:lang w:eastAsia="zh-CN"/>
        </w:rPr>
        <w:t>重庆医科大学</w:t>
      </w:r>
      <w:r>
        <w:rPr>
          <w:rFonts w:hint="eastAsia" w:ascii="微软雅黑" w:hAnsi="微软雅黑" w:eastAsia="微软雅黑"/>
          <w:color w:val="auto"/>
          <w:szCs w:val="21"/>
          <w:highlight w:val="none"/>
        </w:rPr>
        <w:t>：</w:t>
      </w:r>
    </w:p>
    <w:p>
      <w:pPr>
        <w:tabs>
          <w:tab w:val="left" w:pos="6300"/>
        </w:tabs>
        <w:snapToGrid w:val="0"/>
        <w:spacing w:line="500" w:lineRule="exact"/>
        <w:ind w:firstLine="420" w:firstLineChars="200"/>
        <w:rPr>
          <w:rFonts w:ascii="微软雅黑" w:hAnsi="微软雅黑" w:eastAsia="微软雅黑"/>
          <w:color w:val="auto"/>
          <w:szCs w:val="21"/>
          <w:highlight w:val="none"/>
        </w:rPr>
      </w:pPr>
      <w:r>
        <w:rPr>
          <w:rFonts w:hint="eastAsia" w:ascii="微软雅黑" w:hAnsi="微软雅黑" w:eastAsia="微软雅黑"/>
          <w:color w:val="auto"/>
          <w:szCs w:val="21"/>
          <w:highlight w:val="none"/>
        </w:rPr>
        <w:t>（供应商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p>
    <w:p>
      <w:pPr>
        <w:tabs>
          <w:tab w:val="left" w:pos="6300"/>
        </w:tabs>
        <w:snapToGrid w:val="0"/>
        <w:spacing w:line="500" w:lineRule="exact"/>
        <w:ind w:firstLine="420" w:firstLineChars="200"/>
        <w:rPr>
          <w:rFonts w:ascii="微软雅黑" w:hAnsi="微软雅黑" w:eastAsia="微软雅黑"/>
          <w:color w:val="auto"/>
          <w:szCs w:val="21"/>
          <w:highlight w:val="none"/>
        </w:rPr>
      </w:pPr>
      <w:r>
        <w:rPr>
          <w:rFonts w:hint="eastAsia" w:ascii="微软雅黑" w:hAnsi="微软雅黑" w:eastAsia="微软雅黑"/>
          <w:color w:val="auto"/>
          <w:szCs w:val="21"/>
          <w:highlight w:val="none"/>
        </w:rPr>
        <w:t>特此声明。</w:t>
      </w:r>
    </w:p>
    <w:p>
      <w:pPr>
        <w:tabs>
          <w:tab w:val="left" w:pos="6300"/>
        </w:tabs>
        <w:snapToGrid w:val="0"/>
        <w:spacing w:line="500" w:lineRule="exact"/>
        <w:ind w:firstLine="570"/>
        <w:rPr>
          <w:rFonts w:ascii="微软雅黑" w:hAnsi="微软雅黑" w:eastAsia="微软雅黑"/>
          <w:color w:val="auto"/>
          <w:szCs w:val="21"/>
          <w:highlight w:val="none"/>
        </w:rPr>
      </w:pPr>
    </w:p>
    <w:p>
      <w:pPr>
        <w:tabs>
          <w:tab w:val="left" w:pos="6300"/>
        </w:tabs>
        <w:wordWrap w:val="0"/>
        <w:snapToGrid w:val="0"/>
        <w:spacing w:line="500" w:lineRule="exact"/>
        <w:ind w:right="424" w:firstLine="570"/>
        <w:jc w:val="right"/>
        <w:rPr>
          <w:rFonts w:ascii="微软雅黑" w:hAnsi="微软雅黑" w:eastAsia="微软雅黑"/>
          <w:color w:val="auto"/>
          <w:szCs w:val="21"/>
          <w:highlight w:val="none"/>
        </w:rPr>
      </w:pPr>
      <w:r>
        <w:rPr>
          <w:rFonts w:hint="eastAsia" w:ascii="微软雅黑" w:hAnsi="微软雅黑" w:eastAsia="微软雅黑"/>
          <w:color w:val="auto"/>
          <w:szCs w:val="21"/>
          <w:highlight w:val="none"/>
        </w:rPr>
        <w:t xml:space="preserve">（供应商公章）       </w:t>
      </w:r>
    </w:p>
    <w:p>
      <w:pPr>
        <w:tabs>
          <w:tab w:val="left" w:pos="6300"/>
        </w:tabs>
        <w:wordWrap w:val="0"/>
        <w:snapToGrid w:val="0"/>
        <w:spacing w:line="500" w:lineRule="exact"/>
        <w:ind w:right="480" w:firstLine="570"/>
        <w:jc w:val="right"/>
        <w:rPr>
          <w:rFonts w:hint="eastAsia" w:ascii="微软雅黑" w:hAnsi="微软雅黑" w:eastAsia="微软雅黑"/>
          <w:color w:val="auto"/>
          <w:szCs w:val="21"/>
          <w:highlight w:val="none"/>
        </w:rPr>
      </w:pPr>
      <w:r>
        <w:rPr>
          <w:rFonts w:hint="eastAsia" w:ascii="微软雅黑" w:hAnsi="微软雅黑" w:eastAsia="微软雅黑"/>
          <w:color w:val="auto"/>
          <w:szCs w:val="21"/>
          <w:highlight w:val="none"/>
        </w:rPr>
        <w:t xml:space="preserve">年   月   日   </w:t>
      </w:r>
    </w:p>
    <w:p>
      <w:pPr>
        <w:tabs>
          <w:tab w:val="left" w:pos="6300"/>
        </w:tabs>
        <w:wordWrap/>
        <w:snapToGrid w:val="0"/>
        <w:spacing w:line="500" w:lineRule="exact"/>
        <w:ind w:right="480" w:firstLine="570"/>
        <w:jc w:val="left"/>
        <w:rPr>
          <w:rFonts w:ascii="微软雅黑" w:hAnsi="微软雅黑" w:eastAsia="微软雅黑"/>
          <w:color w:val="auto"/>
          <w:szCs w:val="21"/>
          <w:highlight w:val="none"/>
        </w:rPr>
      </w:pPr>
      <w:r>
        <w:rPr>
          <w:rFonts w:hint="eastAsia" w:ascii="微软雅黑" w:hAnsi="微软雅黑" w:eastAsia="微软雅黑"/>
          <w:color w:val="auto"/>
          <w:szCs w:val="21"/>
          <w:highlight w:val="none"/>
          <w:lang w:eastAsia="zh-CN"/>
        </w:rPr>
        <w:t>附两个网站查询情况截图</w:t>
      </w:r>
      <w:r>
        <w:rPr>
          <w:rFonts w:hint="eastAsia" w:ascii="微软雅黑" w:hAnsi="微软雅黑" w:eastAsia="微软雅黑"/>
          <w:color w:val="auto"/>
          <w:szCs w:val="21"/>
          <w:highlight w:val="none"/>
        </w:rPr>
        <w:t xml:space="preserve">    </w:t>
      </w:r>
    </w:p>
    <w:p>
      <w:pPr>
        <w:adjustRightInd w:val="0"/>
        <w:snapToGrid w:val="0"/>
        <w:spacing w:line="360" w:lineRule="auto"/>
        <w:rPr>
          <w:rFonts w:hint="eastAsia" w:ascii="宋体" w:hAnsi="宋体" w:eastAsia="宋体" w:cs="宋体"/>
          <w:color w:val="auto"/>
          <w:sz w:val="24"/>
          <w:highlight w:val="none"/>
        </w:rPr>
      </w:pPr>
    </w:p>
    <w:p>
      <w:pPr>
        <w:adjustRightInd w:val="0"/>
        <w:snapToGrid w:val="0"/>
        <w:spacing w:line="360" w:lineRule="auto"/>
        <w:rPr>
          <w:rFonts w:hint="eastAsia" w:ascii="宋体" w:hAnsi="宋体" w:eastAsia="宋体" w:cs="宋体"/>
          <w:b/>
          <w:bCs/>
          <w:color w:val="auto"/>
          <w:sz w:val="24"/>
          <w:highlight w:val="none"/>
        </w:rPr>
      </w:pPr>
    </w:p>
    <w:p>
      <w:pPr>
        <w:tabs>
          <w:tab w:val="left" w:pos="6300"/>
        </w:tabs>
        <w:snapToGrid w:val="0"/>
        <w:spacing w:line="500" w:lineRule="exact"/>
        <w:ind w:firstLine="560"/>
        <w:rPr>
          <w:rFonts w:ascii="微软雅黑" w:hAnsi="微软雅黑" w:eastAsia="微软雅黑"/>
          <w:b/>
          <w:bCs/>
          <w:color w:val="auto"/>
          <w:szCs w:val="21"/>
          <w:highlight w:val="none"/>
        </w:rPr>
      </w:pPr>
      <w:r>
        <w:rPr>
          <w:rFonts w:hint="eastAsia" w:ascii="宋体" w:hAnsi="宋体" w:cs="宋体"/>
          <w:b/>
          <w:bCs/>
          <w:color w:val="auto"/>
          <w:sz w:val="24"/>
          <w:highlight w:val="none"/>
          <w:lang w:eastAsia="zh-CN"/>
        </w:rPr>
        <w:t>九、</w:t>
      </w:r>
      <w:r>
        <w:rPr>
          <w:rFonts w:hint="eastAsia" w:ascii="微软雅黑" w:hAnsi="微软雅黑" w:eastAsia="微软雅黑"/>
          <w:b/>
          <w:bCs/>
          <w:color w:val="auto"/>
          <w:szCs w:val="21"/>
          <w:highlight w:val="none"/>
        </w:rPr>
        <w:t>.缴纳社会保障金的证明材料复印件</w:t>
      </w:r>
    </w:p>
    <w:p>
      <w:pPr>
        <w:tabs>
          <w:tab w:val="left" w:pos="6300"/>
        </w:tabs>
        <w:snapToGrid w:val="0"/>
        <w:spacing w:line="500" w:lineRule="exact"/>
        <w:ind w:firstLine="420" w:firstLineChars="200"/>
        <w:rPr>
          <w:rFonts w:ascii="微软雅黑" w:hAnsi="微软雅黑" w:eastAsia="微软雅黑"/>
          <w:color w:val="auto"/>
          <w:szCs w:val="21"/>
          <w:highlight w:val="none"/>
        </w:rPr>
      </w:pPr>
      <w:r>
        <w:rPr>
          <w:rFonts w:hint="eastAsia" w:ascii="微软雅黑" w:hAnsi="微软雅黑" w:eastAsia="微软雅黑"/>
          <w:color w:val="auto"/>
          <w:szCs w:val="21"/>
          <w:highlight w:val="none"/>
        </w:rPr>
        <w:t>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pPr>
        <w:tabs>
          <w:tab w:val="left" w:pos="6300"/>
        </w:tabs>
        <w:snapToGrid w:val="0"/>
        <w:spacing w:line="500" w:lineRule="exact"/>
        <w:rPr>
          <w:rFonts w:ascii="微软雅黑" w:hAnsi="微软雅黑" w:eastAsia="微软雅黑"/>
          <w:color w:val="auto"/>
          <w:szCs w:val="21"/>
          <w:highlight w:val="none"/>
        </w:rPr>
      </w:pPr>
    </w:p>
    <w:p>
      <w:pPr>
        <w:tabs>
          <w:tab w:val="left" w:pos="6300"/>
        </w:tabs>
        <w:snapToGrid w:val="0"/>
        <w:spacing w:line="500" w:lineRule="exact"/>
        <w:ind w:firstLine="420" w:firstLineChars="200"/>
        <w:rPr>
          <w:rFonts w:ascii="微软雅黑" w:hAnsi="微软雅黑" w:eastAsia="微软雅黑"/>
          <w:color w:val="auto"/>
          <w:szCs w:val="21"/>
          <w:highlight w:val="none"/>
        </w:rPr>
      </w:pPr>
      <w:r>
        <w:rPr>
          <w:rFonts w:hint="eastAsia" w:ascii="微软雅黑" w:hAnsi="微软雅黑" w:eastAsia="微软雅黑"/>
          <w:color w:val="auto"/>
          <w:szCs w:val="21"/>
          <w:highlight w:val="none"/>
        </w:rPr>
        <w:t>说明：供应商按“多证合一”登记制度办理营业执照的，</w:t>
      </w:r>
      <w:r>
        <w:rPr>
          <w:rFonts w:hint="eastAsia" w:ascii="微软雅黑" w:hAnsi="微软雅黑" w:eastAsia="微软雅黑"/>
          <w:color w:val="auto"/>
          <w:kern w:val="0"/>
          <w:szCs w:val="21"/>
          <w:highlight w:val="none"/>
        </w:rPr>
        <w:t>税务登记证（副本）和社会保险登记证</w:t>
      </w:r>
      <w:r>
        <w:rPr>
          <w:rFonts w:hint="eastAsia" w:ascii="微软雅黑" w:hAnsi="微软雅黑" w:eastAsia="微软雅黑"/>
          <w:color w:val="auto"/>
          <w:szCs w:val="21"/>
          <w:highlight w:val="none"/>
        </w:rPr>
        <w:t>以供应商所提供的营业执照（副本）复印件为准。</w:t>
      </w:r>
    </w:p>
    <w:p>
      <w:pPr>
        <w:adjustRightInd w:val="0"/>
        <w:snapToGrid w:val="0"/>
        <w:spacing w:line="360" w:lineRule="auto"/>
        <w:rPr>
          <w:rFonts w:hint="eastAsia" w:ascii="宋体" w:hAnsi="宋体" w:eastAsia="宋体" w:cs="宋体"/>
          <w:b/>
          <w:bCs/>
          <w:color w:val="auto"/>
          <w:sz w:val="24"/>
          <w:highlight w:val="none"/>
        </w:rPr>
      </w:pPr>
    </w:p>
    <w:p>
      <w:pPr>
        <w:adjustRightInd w:val="0"/>
        <w:snapToGrid w:val="0"/>
        <w:spacing w:line="360" w:lineRule="auto"/>
        <w:ind w:firstLine="482" w:firstLineChars="200"/>
        <w:jc w:val="left"/>
        <w:rPr>
          <w:rFonts w:hint="eastAsia" w:ascii="宋体" w:hAnsi="宋体" w:cs="宋体"/>
          <w:b/>
          <w:bCs/>
          <w:color w:val="auto"/>
          <w:sz w:val="24"/>
          <w:highlight w:val="none"/>
          <w:lang w:eastAsia="zh-CN"/>
        </w:rPr>
      </w:pPr>
    </w:p>
    <w:p>
      <w:pPr>
        <w:adjustRightInd w:val="0"/>
        <w:snapToGrid w:val="0"/>
        <w:spacing w:line="360" w:lineRule="auto"/>
        <w:ind w:firstLine="482" w:firstLineChars="200"/>
        <w:jc w:val="left"/>
        <w:rPr>
          <w:rFonts w:hint="eastAsia" w:ascii="宋体" w:hAnsi="宋体" w:eastAsia="宋体" w:cs="宋体"/>
          <w:b/>
          <w:bCs/>
          <w:color w:val="auto"/>
          <w:sz w:val="24"/>
          <w:highlight w:val="none"/>
        </w:rPr>
      </w:pPr>
      <w:r>
        <w:rPr>
          <w:rFonts w:hint="eastAsia" w:ascii="宋体" w:hAnsi="宋体" w:cs="宋体"/>
          <w:b/>
          <w:bCs/>
          <w:color w:val="auto"/>
          <w:sz w:val="24"/>
          <w:highlight w:val="none"/>
          <w:lang w:eastAsia="zh-CN"/>
        </w:rPr>
        <w:t>十</w:t>
      </w:r>
      <w:r>
        <w:rPr>
          <w:rFonts w:hint="eastAsia" w:ascii="宋体" w:hAnsi="宋体" w:eastAsia="宋体" w:cs="宋体"/>
          <w:b/>
          <w:bCs/>
          <w:color w:val="auto"/>
          <w:sz w:val="24"/>
          <w:highlight w:val="none"/>
        </w:rPr>
        <w:t>、《 廉政承诺书 》</w:t>
      </w:r>
    </w:p>
    <w:p>
      <w:pPr>
        <w:spacing w:line="5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根据国家廉政建设的有关规定，为了做好工程建设中的党风廉政建设，保证项目高效优质，保证项目资金的安全和有效使用以及投资效益，我公司做如下廉政承诺。</w:t>
      </w:r>
    </w:p>
    <w:p>
      <w:pPr>
        <w:spacing w:line="5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一、严格遵守和教育工程项目人员遵守党和国家有关法律法规的有关规定。</w:t>
      </w:r>
    </w:p>
    <w:p>
      <w:pPr>
        <w:spacing w:line="5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二、严格执行重庆医科大学</w:t>
      </w:r>
      <w:r>
        <w:rPr>
          <w:rFonts w:hint="eastAsia" w:ascii="宋体" w:hAnsi="宋体" w:cs="宋体"/>
          <w:color w:val="auto"/>
          <w:sz w:val="24"/>
          <w:highlight w:val="none"/>
          <w:lang w:eastAsia="zh-CN"/>
        </w:rPr>
        <w:t>采购项目</w:t>
      </w:r>
      <w:r>
        <w:rPr>
          <w:rFonts w:hint="eastAsia" w:ascii="宋体" w:hAnsi="宋体" w:eastAsia="宋体" w:cs="宋体"/>
          <w:color w:val="auto"/>
          <w:sz w:val="24"/>
          <w:highlight w:val="none"/>
        </w:rPr>
        <w:t>的合同文件，自觉按合同办事。</w:t>
      </w:r>
    </w:p>
    <w:p>
      <w:pPr>
        <w:spacing w:line="5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三、坚持公开、公正、诚信、透明的原则（除法律认定的商业秘密和合同文件另有规定之外），不得损害国家和集体利益，违反建设管理规章制度。</w:t>
      </w:r>
    </w:p>
    <w:p>
      <w:pPr>
        <w:spacing w:line="5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四、建立健全廉政制度，开展廉政教育，设立廉政告示牌，公布举报电话，监督并认真查处违法违纪行为。</w:t>
      </w:r>
    </w:p>
    <w:p>
      <w:pPr>
        <w:spacing w:line="5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五、在业务活动中如有违反廉政规定的行为，给予及时纠正。 </w:t>
      </w:r>
    </w:p>
    <w:p>
      <w:pPr>
        <w:spacing w:line="5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六、如有违反</w:t>
      </w:r>
      <w:r>
        <w:rPr>
          <w:rFonts w:hint="eastAsia" w:ascii="宋体" w:hAnsi="宋体" w:cs="宋体"/>
          <w:color w:val="auto"/>
          <w:sz w:val="24"/>
          <w:highlight w:val="none"/>
          <w:lang w:eastAsia="zh-CN"/>
        </w:rPr>
        <w:t>项目要求的</w:t>
      </w:r>
      <w:r>
        <w:rPr>
          <w:rFonts w:hint="eastAsia" w:ascii="宋体" w:hAnsi="宋体" w:eastAsia="宋体" w:cs="宋体"/>
          <w:color w:val="auto"/>
          <w:sz w:val="24"/>
          <w:highlight w:val="none"/>
        </w:rPr>
        <w:t>的行为，将接受有关部门处理。</w:t>
      </w:r>
    </w:p>
    <w:p>
      <w:pPr>
        <w:spacing w:line="5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七、不得以任何理由向采购人、监理人及其他代表采购人行使权利的单位行贿或赠礼金、有价证券、礼品。</w:t>
      </w:r>
    </w:p>
    <w:p>
      <w:pPr>
        <w:spacing w:line="5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八、不得以任何名义为采购人、监理人及其他代表采购人行使权利的单位报销应由其单位或个人支付的任何费用。</w:t>
      </w:r>
    </w:p>
    <w:p>
      <w:pPr>
        <w:spacing w:line="5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九、不得以任何理由安排采购人、监理人及其他代表采购人行使权利单位的工作人员参加宴请及娱乐活动。</w:t>
      </w:r>
    </w:p>
    <w:p>
      <w:pPr>
        <w:spacing w:line="5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十、不得为采购人、监理人及其他代表采购人行使权利单位购置或提供通讯工具、交通工具和高档办公用品等。</w:t>
      </w:r>
    </w:p>
    <w:p>
      <w:pPr>
        <w:spacing w:line="5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十一、违纪违法责任</w:t>
      </w:r>
    </w:p>
    <w:p>
      <w:pPr>
        <w:spacing w:line="5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凡违反上述规定的，依据有关规定给予党纪、政纪或组织处理；给采购人造成损失的，应予以赔偿，并按规定给予每次扣合同总额的5%处罚。</w:t>
      </w:r>
    </w:p>
    <w:p>
      <w:pPr>
        <w:spacing w:line="5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十二、有效期为招投标活动开始之日起至该项目竣工验收后止。由于行贿受贿案发有延后性，保留追述责任时效。</w:t>
      </w:r>
    </w:p>
    <w:p>
      <w:pPr>
        <w:spacing w:line="5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十三、本承诺作为</w:t>
      </w:r>
      <w:r>
        <w:rPr>
          <w:rFonts w:hint="eastAsia" w:ascii="宋体" w:hAnsi="宋体" w:cs="宋体"/>
          <w:color w:val="auto"/>
          <w:sz w:val="24"/>
          <w:highlight w:val="none"/>
          <w:lang w:eastAsia="zh-CN"/>
        </w:rPr>
        <w:t>项目</w:t>
      </w:r>
      <w:r>
        <w:rPr>
          <w:rFonts w:hint="eastAsia" w:ascii="宋体" w:hAnsi="宋体" w:eastAsia="宋体" w:cs="宋体"/>
          <w:color w:val="auto"/>
          <w:sz w:val="24"/>
          <w:highlight w:val="none"/>
        </w:rPr>
        <w:t xml:space="preserve">附件，具有法律效力。    </w:t>
      </w:r>
    </w:p>
    <w:p>
      <w:p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承诺方：   （单位公章）</w:t>
      </w:r>
    </w:p>
    <w:p>
      <w:pPr>
        <w:spacing w:line="520" w:lineRule="exact"/>
        <w:ind w:firstLine="480"/>
        <w:jc w:val="right"/>
        <w:rPr>
          <w:rFonts w:hint="eastAsia" w:ascii="宋体" w:hAnsi="宋体" w:eastAsia="宋体" w:cs="宋体"/>
          <w:color w:val="auto"/>
          <w:szCs w:val="21"/>
          <w:highlight w:val="none"/>
        </w:rPr>
      </w:pPr>
      <w:r>
        <w:rPr>
          <w:rFonts w:hint="eastAsia" w:ascii="宋体" w:hAnsi="宋体" w:eastAsia="宋体" w:cs="宋体"/>
          <w:color w:val="auto"/>
          <w:sz w:val="24"/>
          <w:highlight w:val="none"/>
        </w:rPr>
        <w:t xml:space="preserve">                                             年   月   日</w:t>
      </w:r>
    </w:p>
    <w:sectPr>
      <w:headerReference r:id="rId3" w:type="default"/>
      <w:footerReference r:id="rId5" w:type="default"/>
      <w:headerReference r:id="rId4" w:type="even"/>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E869DCB7-B8DD-415A-A1F9-97D5E83E4872}"/>
  </w:font>
  <w:font w:name="仿宋_GB2312">
    <w:panose1 w:val="02010609030101010101"/>
    <w:charset w:val="86"/>
    <w:family w:val="modern"/>
    <w:pitch w:val="default"/>
    <w:sig w:usb0="00000001" w:usb1="080E0000" w:usb2="00000000" w:usb3="00000000" w:csb0="00040000" w:csb1="00000000"/>
    <w:embedRegular r:id="rId2" w:fontKey="{FEF37085-4566-4C4B-A306-5DA8288EB9F9}"/>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embedRegular r:id="rId3" w:fontKey="{D46CE535-C40B-4283-ACC2-FFDF3F6384A3}"/>
  </w:font>
  <w:font w:name="微软雅黑">
    <w:panose1 w:val="020B0503020204020204"/>
    <w:charset w:val="86"/>
    <w:family w:val="swiss"/>
    <w:pitch w:val="default"/>
    <w:sig w:usb0="80000287" w:usb1="280F3C52" w:usb2="00000016" w:usb3="00000000" w:csb0="0004001F" w:csb1="00000000"/>
    <w:embedRegular r:id="rId4" w:fontKey="{DEC2CCD6-5256-4EAB-8FC2-0E9CBC10560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15035" cy="147955"/>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915035" cy="147955"/>
                      </a:xfrm>
                      <a:prstGeom prst="rect">
                        <a:avLst/>
                      </a:prstGeom>
                      <a:noFill/>
                      <a:ln>
                        <a:noFill/>
                      </a:ln>
                    </wps:spPr>
                    <wps:txbx>
                      <w:txbxContent>
                        <w:p>
                          <w:pPr>
                            <w:pStyle w:val="14"/>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65pt;width:72.05pt;mso-position-horizontal:center;mso-position-horizontal-relative:margin;mso-wrap-style:none;z-index:251659264;mso-width-relative:page;mso-height-relative:page;" filled="f" stroked="f" coordsize="21600,21600" o:gfxdata="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O3qrfSAAAABAEAAA8AAAAAAAAAAQAgAAAAIgAAAGRycy9kb3ducmV2LnhtbFBL&#10;AQIUABQAAAAIAIdO4kCRft3G/AEAAAQEAAAOAAAAAAAAAAEAIAAAACEBAABkcnMvZTJvRG9jLnht&#10;bFBLBQYAAAAABgAGAFkBAACPBQ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845465"/>
    <w:multiLevelType w:val="singleLevel"/>
    <w:tmpl w:val="DF845465"/>
    <w:lvl w:ilvl="0" w:tentative="0">
      <w:start w:val="2"/>
      <w:numFmt w:val="chineseCounting"/>
      <w:suff w:val="nothing"/>
      <w:lvlText w:val="%1、"/>
      <w:lvlJc w:val="left"/>
      <w:rPr>
        <w:rFonts w:hint="eastAsia"/>
      </w:rPr>
    </w:lvl>
  </w:abstractNum>
  <w:abstractNum w:abstractNumId="1">
    <w:nsid w:val="0000000B"/>
    <w:multiLevelType w:val="multilevel"/>
    <w:tmpl w:val="0000000B"/>
    <w:lvl w:ilvl="0" w:tentative="0">
      <w:start w:val="1"/>
      <w:numFmt w:val="japaneseCounting"/>
      <w:lvlText w:val="%1、"/>
      <w:lvlJc w:val="left"/>
      <w:pPr>
        <w:tabs>
          <w:tab w:val="left" w:pos="570"/>
        </w:tabs>
        <w:ind w:left="570" w:hanging="57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F47B110"/>
    <w:multiLevelType w:val="singleLevel"/>
    <w:tmpl w:val="5F47B110"/>
    <w:lvl w:ilvl="0" w:tentative="0">
      <w:start w:val="6"/>
      <w:numFmt w:val="chineseCounting"/>
      <w:suff w:val="nothing"/>
      <w:lvlText w:val="%1、"/>
      <w:lvlJc w:val="left"/>
      <w:rPr>
        <w:rFonts w:hint="eastAsia"/>
      </w:rPr>
    </w:lvl>
  </w:abstractNum>
  <w:num w:numId="1">
    <w:abstractNumId w:val="0"/>
  </w:num>
  <w:num w:numId="2">
    <w:abstractNumId w:val="1"/>
    <w:lvlOverride w:ilvl="0">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MDc5MTgwYTcxOWRhMTgyYjcyMzJhOWU0OGM3NDcifQ=="/>
  </w:docVars>
  <w:rsids>
    <w:rsidRoot w:val="00172A27"/>
    <w:rsid w:val="000060E3"/>
    <w:rsid w:val="00027260"/>
    <w:rsid w:val="000411A7"/>
    <w:rsid w:val="00042AFE"/>
    <w:rsid w:val="00043795"/>
    <w:rsid w:val="00050165"/>
    <w:rsid w:val="0005644E"/>
    <w:rsid w:val="00064E83"/>
    <w:rsid w:val="0006604E"/>
    <w:rsid w:val="00067996"/>
    <w:rsid w:val="000770EA"/>
    <w:rsid w:val="00083674"/>
    <w:rsid w:val="00084113"/>
    <w:rsid w:val="000962F5"/>
    <w:rsid w:val="000A3D3D"/>
    <w:rsid w:val="000A617B"/>
    <w:rsid w:val="000B79F8"/>
    <w:rsid w:val="000C0498"/>
    <w:rsid w:val="000C742B"/>
    <w:rsid w:val="000D62F2"/>
    <w:rsid w:val="000F05FF"/>
    <w:rsid w:val="00114AE1"/>
    <w:rsid w:val="00115F2A"/>
    <w:rsid w:val="00117992"/>
    <w:rsid w:val="00123F69"/>
    <w:rsid w:val="0012482D"/>
    <w:rsid w:val="00132872"/>
    <w:rsid w:val="00133B35"/>
    <w:rsid w:val="00155ED9"/>
    <w:rsid w:val="00160595"/>
    <w:rsid w:val="0016445D"/>
    <w:rsid w:val="00166D7B"/>
    <w:rsid w:val="00172A27"/>
    <w:rsid w:val="00177A9F"/>
    <w:rsid w:val="001816F0"/>
    <w:rsid w:val="00185CE9"/>
    <w:rsid w:val="0019679B"/>
    <w:rsid w:val="00196EC3"/>
    <w:rsid w:val="00197386"/>
    <w:rsid w:val="001A4C3C"/>
    <w:rsid w:val="001B7877"/>
    <w:rsid w:val="001C04B3"/>
    <w:rsid w:val="001C3288"/>
    <w:rsid w:val="001D16F6"/>
    <w:rsid w:val="001D5AA8"/>
    <w:rsid w:val="001E2D8E"/>
    <w:rsid w:val="001E4AF0"/>
    <w:rsid w:val="001E5C54"/>
    <w:rsid w:val="001F12C5"/>
    <w:rsid w:val="001F1447"/>
    <w:rsid w:val="00211CCF"/>
    <w:rsid w:val="0021690C"/>
    <w:rsid w:val="00217AF8"/>
    <w:rsid w:val="00225EF3"/>
    <w:rsid w:val="00234342"/>
    <w:rsid w:val="00234726"/>
    <w:rsid w:val="0023641D"/>
    <w:rsid w:val="00240A00"/>
    <w:rsid w:val="002519F6"/>
    <w:rsid w:val="00251F4E"/>
    <w:rsid w:val="00261592"/>
    <w:rsid w:val="00277688"/>
    <w:rsid w:val="002811DA"/>
    <w:rsid w:val="00281A0F"/>
    <w:rsid w:val="0028225B"/>
    <w:rsid w:val="00283158"/>
    <w:rsid w:val="00287904"/>
    <w:rsid w:val="00290C26"/>
    <w:rsid w:val="00296696"/>
    <w:rsid w:val="00297E7B"/>
    <w:rsid w:val="002A09E8"/>
    <w:rsid w:val="002A7B45"/>
    <w:rsid w:val="002B36CF"/>
    <w:rsid w:val="002D4D49"/>
    <w:rsid w:val="002E2363"/>
    <w:rsid w:val="002E386E"/>
    <w:rsid w:val="002E44F9"/>
    <w:rsid w:val="002E4829"/>
    <w:rsid w:val="002E77EF"/>
    <w:rsid w:val="00300839"/>
    <w:rsid w:val="00302B72"/>
    <w:rsid w:val="00304F17"/>
    <w:rsid w:val="003056E1"/>
    <w:rsid w:val="00313F28"/>
    <w:rsid w:val="00317722"/>
    <w:rsid w:val="00320E32"/>
    <w:rsid w:val="003312BE"/>
    <w:rsid w:val="00332845"/>
    <w:rsid w:val="003330B3"/>
    <w:rsid w:val="00333AE4"/>
    <w:rsid w:val="00362351"/>
    <w:rsid w:val="00364B9F"/>
    <w:rsid w:val="00366647"/>
    <w:rsid w:val="0037200C"/>
    <w:rsid w:val="00373BC4"/>
    <w:rsid w:val="00375561"/>
    <w:rsid w:val="00375BA4"/>
    <w:rsid w:val="00385470"/>
    <w:rsid w:val="00386F3E"/>
    <w:rsid w:val="00390FE2"/>
    <w:rsid w:val="00395047"/>
    <w:rsid w:val="0039607E"/>
    <w:rsid w:val="003A122C"/>
    <w:rsid w:val="003A5B94"/>
    <w:rsid w:val="003B7D35"/>
    <w:rsid w:val="003B7FC4"/>
    <w:rsid w:val="003C3713"/>
    <w:rsid w:val="003D73EF"/>
    <w:rsid w:val="003E0F9B"/>
    <w:rsid w:val="003E232B"/>
    <w:rsid w:val="003E2A4B"/>
    <w:rsid w:val="003F08F5"/>
    <w:rsid w:val="003F2BB7"/>
    <w:rsid w:val="0041425A"/>
    <w:rsid w:val="004215B6"/>
    <w:rsid w:val="00421A86"/>
    <w:rsid w:val="004313F0"/>
    <w:rsid w:val="0043223F"/>
    <w:rsid w:val="00432B5B"/>
    <w:rsid w:val="00432F9B"/>
    <w:rsid w:val="0043360E"/>
    <w:rsid w:val="00435998"/>
    <w:rsid w:val="00463462"/>
    <w:rsid w:val="00463D98"/>
    <w:rsid w:val="00474571"/>
    <w:rsid w:val="004922E6"/>
    <w:rsid w:val="004929AD"/>
    <w:rsid w:val="0049505E"/>
    <w:rsid w:val="004A6A0F"/>
    <w:rsid w:val="004B27BE"/>
    <w:rsid w:val="004B763D"/>
    <w:rsid w:val="004C12CF"/>
    <w:rsid w:val="004C1BC3"/>
    <w:rsid w:val="004C5C44"/>
    <w:rsid w:val="004C7E82"/>
    <w:rsid w:val="004D1593"/>
    <w:rsid w:val="004D4EA7"/>
    <w:rsid w:val="004F21FD"/>
    <w:rsid w:val="004F2381"/>
    <w:rsid w:val="004F5271"/>
    <w:rsid w:val="004F620C"/>
    <w:rsid w:val="005066A8"/>
    <w:rsid w:val="00506784"/>
    <w:rsid w:val="00506F5A"/>
    <w:rsid w:val="00507B53"/>
    <w:rsid w:val="005134DF"/>
    <w:rsid w:val="00514E0A"/>
    <w:rsid w:val="005158F8"/>
    <w:rsid w:val="00516F43"/>
    <w:rsid w:val="005209CD"/>
    <w:rsid w:val="005246E4"/>
    <w:rsid w:val="00531F83"/>
    <w:rsid w:val="00535E17"/>
    <w:rsid w:val="005616CA"/>
    <w:rsid w:val="00562949"/>
    <w:rsid w:val="005637B0"/>
    <w:rsid w:val="00575D1C"/>
    <w:rsid w:val="00582077"/>
    <w:rsid w:val="00593158"/>
    <w:rsid w:val="005A43E0"/>
    <w:rsid w:val="005C078A"/>
    <w:rsid w:val="005D0AC7"/>
    <w:rsid w:val="005F7E28"/>
    <w:rsid w:val="006008AD"/>
    <w:rsid w:val="00601461"/>
    <w:rsid w:val="00610394"/>
    <w:rsid w:val="00621821"/>
    <w:rsid w:val="006371F3"/>
    <w:rsid w:val="006425AD"/>
    <w:rsid w:val="00651529"/>
    <w:rsid w:val="006555D6"/>
    <w:rsid w:val="006616CC"/>
    <w:rsid w:val="00661E74"/>
    <w:rsid w:val="00663347"/>
    <w:rsid w:val="00680515"/>
    <w:rsid w:val="00691F61"/>
    <w:rsid w:val="00693136"/>
    <w:rsid w:val="006A656A"/>
    <w:rsid w:val="006C510B"/>
    <w:rsid w:val="006E33F0"/>
    <w:rsid w:val="006E5F5B"/>
    <w:rsid w:val="006F1EA1"/>
    <w:rsid w:val="0070607E"/>
    <w:rsid w:val="00707F33"/>
    <w:rsid w:val="00713516"/>
    <w:rsid w:val="0072448E"/>
    <w:rsid w:val="00726460"/>
    <w:rsid w:val="00744652"/>
    <w:rsid w:val="00750623"/>
    <w:rsid w:val="007551BC"/>
    <w:rsid w:val="007647DB"/>
    <w:rsid w:val="007753CE"/>
    <w:rsid w:val="00776F33"/>
    <w:rsid w:val="007775A5"/>
    <w:rsid w:val="0078663E"/>
    <w:rsid w:val="00795604"/>
    <w:rsid w:val="007A38CD"/>
    <w:rsid w:val="007C039A"/>
    <w:rsid w:val="007E4B51"/>
    <w:rsid w:val="007E5F90"/>
    <w:rsid w:val="007F761A"/>
    <w:rsid w:val="00805207"/>
    <w:rsid w:val="00812A54"/>
    <w:rsid w:val="00817B66"/>
    <w:rsid w:val="00823300"/>
    <w:rsid w:val="008361C3"/>
    <w:rsid w:val="0084395D"/>
    <w:rsid w:val="0084475F"/>
    <w:rsid w:val="00845A49"/>
    <w:rsid w:val="008463C7"/>
    <w:rsid w:val="00856BF1"/>
    <w:rsid w:val="008643C7"/>
    <w:rsid w:val="00870BBA"/>
    <w:rsid w:val="00876595"/>
    <w:rsid w:val="00891C6B"/>
    <w:rsid w:val="008939A5"/>
    <w:rsid w:val="008A0B26"/>
    <w:rsid w:val="008A4D9E"/>
    <w:rsid w:val="008B3BA6"/>
    <w:rsid w:val="008C16F9"/>
    <w:rsid w:val="008D7096"/>
    <w:rsid w:val="008E692A"/>
    <w:rsid w:val="008F310E"/>
    <w:rsid w:val="008F6E3D"/>
    <w:rsid w:val="00916864"/>
    <w:rsid w:val="00935347"/>
    <w:rsid w:val="00940A80"/>
    <w:rsid w:val="00942F99"/>
    <w:rsid w:val="0094400F"/>
    <w:rsid w:val="009607E6"/>
    <w:rsid w:val="00977867"/>
    <w:rsid w:val="00990136"/>
    <w:rsid w:val="00994747"/>
    <w:rsid w:val="00997296"/>
    <w:rsid w:val="009A3474"/>
    <w:rsid w:val="009B4215"/>
    <w:rsid w:val="009B6378"/>
    <w:rsid w:val="009C1B5C"/>
    <w:rsid w:val="009D1EF3"/>
    <w:rsid w:val="00A00094"/>
    <w:rsid w:val="00A005A6"/>
    <w:rsid w:val="00A02905"/>
    <w:rsid w:val="00A20590"/>
    <w:rsid w:val="00A30719"/>
    <w:rsid w:val="00A36FFA"/>
    <w:rsid w:val="00A43043"/>
    <w:rsid w:val="00A50CC7"/>
    <w:rsid w:val="00A55581"/>
    <w:rsid w:val="00A55C6A"/>
    <w:rsid w:val="00A5753F"/>
    <w:rsid w:val="00A6476E"/>
    <w:rsid w:val="00A87046"/>
    <w:rsid w:val="00A958EE"/>
    <w:rsid w:val="00AA42C9"/>
    <w:rsid w:val="00AA74F4"/>
    <w:rsid w:val="00AB4A13"/>
    <w:rsid w:val="00AB5F3D"/>
    <w:rsid w:val="00AC3996"/>
    <w:rsid w:val="00AD2654"/>
    <w:rsid w:val="00AE243D"/>
    <w:rsid w:val="00AE2985"/>
    <w:rsid w:val="00AE3B4D"/>
    <w:rsid w:val="00AE5F9A"/>
    <w:rsid w:val="00AF4556"/>
    <w:rsid w:val="00B01F47"/>
    <w:rsid w:val="00B11558"/>
    <w:rsid w:val="00B119B2"/>
    <w:rsid w:val="00B11C07"/>
    <w:rsid w:val="00B14143"/>
    <w:rsid w:val="00B21C75"/>
    <w:rsid w:val="00B24D39"/>
    <w:rsid w:val="00B30664"/>
    <w:rsid w:val="00B310C3"/>
    <w:rsid w:val="00B32FBC"/>
    <w:rsid w:val="00B34130"/>
    <w:rsid w:val="00B372B1"/>
    <w:rsid w:val="00B41704"/>
    <w:rsid w:val="00B64BEE"/>
    <w:rsid w:val="00B702D6"/>
    <w:rsid w:val="00B76CA0"/>
    <w:rsid w:val="00B824F3"/>
    <w:rsid w:val="00B847FB"/>
    <w:rsid w:val="00B86986"/>
    <w:rsid w:val="00BB23F2"/>
    <w:rsid w:val="00BB6B39"/>
    <w:rsid w:val="00BC58DD"/>
    <w:rsid w:val="00BF11FF"/>
    <w:rsid w:val="00C03B63"/>
    <w:rsid w:val="00C05434"/>
    <w:rsid w:val="00C059C6"/>
    <w:rsid w:val="00C06195"/>
    <w:rsid w:val="00C07197"/>
    <w:rsid w:val="00C25B7C"/>
    <w:rsid w:val="00C30E14"/>
    <w:rsid w:val="00C45E7D"/>
    <w:rsid w:val="00C46FEB"/>
    <w:rsid w:val="00C53990"/>
    <w:rsid w:val="00C717EC"/>
    <w:rsid w:val="00C74C36"/>
    <w:rsid w:val="00C8040F"/>
    <w:rsid w:val="00C8232D"/>
    <w:rsid w:val="00C8245F"/>
    <w:rsid w:val="00C84D30"/>
    <w:rsid w:val="00C93C3C"/>
    <w:rsid w:val="00C96877"/>
    <w:rsid w:val="00CA406C"/>
    <w:rsid w:val="00CA626E"/>
    <w:rsid w:val="00CA6AF5"/>
    <w:rsid w:val="00CB1B4C"/>
    <w:rsid w:val="00CB27FA"/>
    <w:rsid w:val="00CB559D"/>
    <w:rsid w:val="00CC1BFA"/>
    <w:rsid w:val="00CD3536"/>
    <w:rsid w:val="00CE00EE"/>
    <w:rsid w:val="00CE495D"/>
    <w:rsid w:val="00CF2DF2"/>
    <w:rsid w:val="00CF6512"/>
    <w:rsid w:val="00D04CA8"/>
    <w:rsid w:val="00D050E2"/>
    <w:rsid w:val="00D068AD"/>
    <w:rsid w:val="00D075D2"/>
    <w:rsid w:val="00D10489"/>
    <w:rsid w:val="00D10A7B"/>
    <w:rsid w:val="00D10E32"/>
    <w:rsid w:val="00D135E6"/>
    <w:rsid w:val="00D31377"/>
    <w:rsid w:val="00D70D25"/>
    <w:rsid w:val="00D81BF4"/>
    <w:rsid w:val="00D84FAC"/>
    <w:rsid w:val="00D90F2D"/>
    <w:rsid w:val="00DA0AB5"/>
    <w:rsid w:val="00DA2337"/>
    <w:rsid w:val="00DB72A8"/>
    <w:rsid w:val="00DC25B2"/>
    <w:rsid w:val="00DC3FA3"/>
    <w:rsid w:val="00DC4B25"/>
    <w:rsid w:val="00DD075A"/>
    <w:rsid w:val="00DD6E87"/>
    <w:rsid w:val="00DE5FA3"/>
    <w:rsid w:val="00DE6A34"/>
    <w:rsid w:val="00E12C7D"/>
    <w:rsid w:val="00E13ABE"/>
    <w:rsid w:val="00E20B05"/>
    <w:rsid w:val="00E222CF"/>
    <w:rsid w:val="00E3358F"/>
    <w:rsid w:val="00E34975"/>
    <w:rsid w:val="00E37866"/>
    <w:rsid w:val="00E44AB8"/>
    <w:rsid w:val="00E46648"/>
    <w:rsid w:val="00E46A11"/>
    <w:rsid w:val="00E501AC"/>
    <w:rsid w:val="00E5362C"/>
    <w:rsid w:val="00E55790"/>
    <w:rsid w:val="00E56F8A"/>
    <w:rsid w:val="00E630A9"/>
    <w:rsid w:val="00E642D0"/>
    <w:rsid w:val="00E64FD7"/>
    <w:rsid w:val="00E661BA"/>
    <w:rsid w:val="00E728C7"/>
    <w:rsid w:val="00E742A4"/>
    <w:rsid w:val="00E83CF3"/>
    <w:rsid w:val="00E84B33"/>
    <w:rsid w:val="00E85A40"/>
    <w:rsid w:val="00E94058"/>
    <w:rsid w:val="00E95767"/>
    <w:rsid w:val="00EA7675"/>
    <w:rsid w:val="00EB2638"/>
    <w:rsid w:val="00EC4320"/>
    <w:rsid w:val="00ED07B0"/>
    <w:rsid w:val="00ED0E32"/>
    <w:rsid w:val="00ED2244"/>
    <w:rsid w:val="00ED2427"/>
    <w:rsid w:val="00ED4235"/>
    <w:rsid w:val="00ED5ED1"/>
    <w:rsid w:val="00EE35AB"/>
    <w:rsid w:val="00EE3C97"/>
    <w:rsid w:val="00EE3E23"/>
    <w:rsid w:val="00EE73A6"/>
    <w:rsid w:val="00F00EAA"/>
    <w:rsid w:val="00F101F6"/>
    <w:rsid w:val="00F164D2"/>
    <w:rsid w:val="00F2262A"/>
    <w:rsid w:val="00F24A61"/>
    <w:rsid w:val="00F2523A"/>
    <w:rsid w:val="00F25A95"/>
    <w:rsid w:val="00F2693C"/>
    <w:rsid w:val="00F44452"/>
    <w:rsid w:val="00F476C3"/>
    <w:rsid w:val="00F60FC3"/>
    <w:rsid w:val="00F64257"/>
    <w:rsid w:val="00F64495"/>
    <w:rsid w:val="00F75B95"/>
    <w:rsid w:val="00F90A76"/>
    <w:rsid w:val="00F9155D"/>
    <w:rsid w:val="00F96DF3"/>
    <w:rsid w:val="00FA243E"/>
    <w:rsid w:val="00FA6FB3"/>
    <w:rsid w:val="00FB25F5"/>
    <w:rsid w:val="00FB51C9"/>
    <w:rsid w:val="00FD1935"/>
    <w:rsid w:val="00FD699D"/>
    <w:rsid w:val="00FE30EE"/>
    <w:rsid w:val="00FF0D5E"/>
    <w:rsid w:val="01255120"/>
    <w:rsid w:val="016369DC"/>
    <w:rsid w:val="017C6D0A"/>
    <w:rsid w:val="01D26193"/>
    <w:rsid w:val="01FC5617"/>
    <w:rsid w:val="023A2E4D"/>
    <w:rsid w:val="027964F0"/>
    <w:rsid w:val="027C16B8"/>
    <w:rsid w:val="02C008B1"/>
    <w:rsid w:val="02C433FD"/>
    <w:rsid w:val="02D8385F"/>
    <w:rsid w:val="0341645D"/>
    <w:rsid w:val="03544D9A"/>
    <w:rsid w:val="03800DB0"/>
    <w:rsid w:val="038477B4"/>
    <w:rsid w:val="03907D8F"/>
    <w:rsid w:val="03D43BEC"/>
    <w:rsid w:val="03EC461B"/>
    <w:rsid w:val="045731A6"/>
    <w:rsid w:val="046566D8"/>
    <w:rsid w:val="046C27DD"/>
    <w:rsid w:val="04931534"/>
    <w:rsid w:val="04957028"/>
    <w:rsid w:val="04D92DA1"/>
    <w:rsid w:val="051C683A"/>
    <w:rsid w:val="05290AA8"/>
    <w:rsid w:val="05377B18"/>
    <w:rsid w:val="05396703"/>
    <w:rsid w:val="05485881"/>
    <w:rsid w:val="0570785E"/>
    <w:rsid w:val="057D5FEF"/>
    <w:rsid w:val="0588627E"/>
    <w:rsid w:val="05AB0A1C"/>
    <w:rsid w:val="05B111C3"/>
    <w:rsid w:val="05EF5D0A"/>
    <w:rsid w:val="064852AC"/>
    <w:rsid w:val="06595937"/>
    <w:rsid w:val="067975A1"/>
    <w:rsid w:val="06972BAA"/>
    <w:rsid w:val="06DA69AD"/>
    <w:rsid w:val="06E87032"/>
    <w:rsid w:val="072A3F36"/>
    <w:rsid w:val="079918BC"/>
    <w:rsid w:val="07DD49A7"/>
    <w:rsid w:val="07DF27CB"/>
    <w:rsid w:val="07E07279"/>
    <w:rsid w:val="08360008"/>
    <w:rsid w:val="08382AD8"/>
    <w:rsid w:val="08C77405"/>
    <w:rsid w:val="08F9083E"/>
    <w:rsid w:val="09680D28"/>
    <w:rsid w:val="09AA4D5C"/>
    <w:rsid w:val="09CF798E"/>
    <w:rsid w:val="09E2294B"/>
    <w:rsid w:val="0A3848AA"/>
    <w:rsid w:val="0A4040F5"/>
    <w:rsid w:val="0A91557F"/>
    <w:rsid w:val="0AAC173E"/>
    <w:rsid w:val="0B2A5C2D"/>
    <w:rsid w:val="0B5039C5"/>
    <w:rsid w:val="0B5C4D8D"/>
    <w:rsid w:val="0B7B7DE4"/>
    <w:rsid w:val="0B7C0033"/>
    <w:rsid w:val="0B813C75"/>
    <w:rsid w:val="0B835865"/>
    <w:rsid w:val="0B8C0535"/>
    <w:rsid w:val="0BBD7916"/>
    <w:rsid w:val="0BD52F16"/>
    <w:rsid w:val="0BEB51B8"/>
    <w:rsid w:val="0C527168"/>
    <w:rsid w:val="0C691456"/>
    <w:rsid w:val="0C762CD4"/>
    <w:rsid w:val="0CBB3450"/>
    <w:rsid w:val="0CEB1914"/>
    <w:rsid w:val="0D2210AE"/>
    <w:rsid w:val="0D3F3C07"/>
    <w:rsid w:val="0D440B4F"/>
    <w:rsid w:val="0D9559EB"/>
    <w:rsid w:val="0DAF28F4"/>
    <w:rsid w:val="0DC34A87"/>
    <w:rsid w:val="0DC40C23"/>
    <w:rsid w:val="0DD95C10"/>
    <w:rsid w:val="0E1C5A2D"/>
    <w:rsid w:val="0E32211C"/>
    <w:rsid w:val="0E413FBD"/>
    <w:rsid w:val="0E45308F"/>
    <w:rsid w:val="0E564BBE"/>
    <w:rsid w:val="0E641605"/>
    <w:rsid w:val="0E87382B"/>
    <w:rsid w:val="0ED44AF8"/>
    <w:rsid w:val="0ED85EC8"/>
    <w:rsid w:val="0EE228A3"/>
    <w:rsid w:val="0F5C5C5B"/>
    <w:rsid w:val="0FF24D67"/>
    <w:rsid w:val="101C3B92"/>
    <w:rsid w:val="102D3DE3"/>
    <w:rsid w:val="103E0566"/>
    <w:rsid w:val="103E210E"/>
    <w:rsid w:val="10526410"/>
    <w:rsid w:val="10583D85"/>
    <w:rsid w:val="109957E2"/>
    <w:rsid w:val="10A14E47"/>
    <w:rsid w:val="10A47B56"/>
    <w:rsid w:val="10C12866"/>
    <w:rsid w:val="10F95617"/>
    <w:rsid w:val="11100F9A"/>
    <w:rsid w:val="11953E67"/>
    <w:rsid w:val="12502EE4"/>
    <w:rsid w:val="12583971"/>
    <w:rsid w:val="12837EF9"/>
    <w:rsid w:val="12C80001"/>
    <w:rsid w:val="12DA18D7"/>
    <w:rsid w:val="130A686C"/>
    <w:rsid w:val="13164101"/>
    <w:rsid w:val="13456A34"/>
    <w:rsid w:val="134B2E32"/>
    <w:rsid w:val="13AA3F50"/>
    <w:rsid w:val="13E80CF3"/>
    <w:rsid w:val="1434118C"/>
    <w:rsid w:val="14706BA3"/>
    <w:rsid w:val="14872E93"/>
    <w:rsid w:val="14AD5701"/>
    <w:rsid w:val="14DA4197"/>
    <w:rsid w:val="14E2694B"/>
    <w:rsid w:val="14EF0347"/>
    <w:rsid w:val="15145780"/>
    <w:rsid w:val="152652C9"/>
    <w:rsid w:val="152F25BA"/>
    <w:rsid w:val="152F61BD"/>
    <w:rsid w:val="154921D8"/>
    <w:rsid w:val="15726B5A"/>
    <w:rsid w:val="157D344D"/>
    <w:rsid w:val="15CA2D3E"/>
    <w:rsid w:val="15F3690F"/>
    <w:rsid w:val="16457E7E"/>
    <w:rsid w:val="164C5C9B"/>
    <w:rsid w:val="16626164"/>
    <w:rsid w:val="16706486"/>
    <w:rsid w:val="16895CFA"/>
    <w:rsid w:val="16D24694"/>
    <w:rsid w:val="16FC63B5"/>
    <w:rsid w:val="173C6134"/>
    <w:rsid w:val="178A750B"/>
    <w:rsid w:val="179F350D"/>
    <w:rsid w:val="17CD34E2"/>
    <w:rsid w:val="17D16B68"/>
    <w:rsid w:val="17F378CF"/>
    <w:rsid w:val="18071D1A"/>
    <w:rsid w:val="180E295A"/>
    <w:rsid w:val="185F456B"/>
    <w:rsid w:val="186662F2"/>
    <w:rsid w:val="188B3FAB"/>
    <w:rsid w:val="189439DF"/>
    <w:rsid w:val="18CA1724"/>
    <w:rsid w:val="191E225B"/>
    <w:rsid w:val="194445CD"/>
    <w:rsid w:val="19AF7F34"/>
    <w:rsid w:val="19C72F2C"/>
    <w:rsid w:val="19E42B1F"/>
    <w:rsid w:val="19EE6164"/>
    <w:rsid w:val="1A300AFD"/>
    <w:rsid w:val="1A43070E"/>
    <w:rsid w:val="1A584361"/>
    <w:rsid w:val="1AF0196F"/>
    <w:rsid w:val="1B281EC2"/>
    <w:rsid w:val="1B413636"/>
    <w:rsid w:val="1B46065D"/>
    <w:rsid w:val="1B7170A9"/>
    <w:rsid w:val="1B784C0F"/>
    <w:rsid w:val="1B786A6B"/>
    <w:rsid w:val="1B9019A7"/>
    <w:rsid w:val="1B903686"/>
    <w:rsid w:val="1BF9395F"/>
    <w:rsid w:val="1C213DE9"/>
    <w:rsid w:val="1C381EC3"/>
    <w:rsid w:val="1C3B5D79"/>
    <w:rsid w:val="1C43786F"/>
    <w:rsid w:val="1C47735E"/>
    <w:rsid w:val="1C544B52"/>
    <w:rsid w:val="1CBB4733"/>
    <w:rsid w:val="1CC15B3A"/>
    <w:rsid w:val="1CCC06EE"/>
    <w:rsid w:val="1CD221A8"/>
    <w:rsid w:val="1CFF2B23"/>
    <w:rsid w:val="1D010460"/>
    <w:rsid w:val="1D345530"/>
    <w:rsid w:val="1D825A09"/>
    <w:rsid w:val="1D9B34F2"/>
    <w:rsid w:val="1DE8106D"/>
    <w:rsid w:val="1E2278C9"/>
    <w:rsid w:val="1E3A1ABC"/>
    <w:rsid w:val="1E492B49"/>
    <w:rsid w:val="1E537319"/>
    <w:rsid w:val="1E7630FA"/>
    <w:rsid w:val="1E7B4680"/>
    <w:rsid w:val="1E9A29F3"/>
    <w:rsid w:val="1EAB0F03"/>
    <w:rsid w:val="1EC96128"/>
    <w:rsid w:val="1EEA2796"/>
    <w:rsid w:val="1F825054"/>
    <w:rsid w:val="1F9E45C4"/>
    <w:rsid w:val="1FC9749E"/>
    <w:rsid w:val="1FD430C8"/>
    <w:rsid w:val="1FD928F9"/>
    <w:rsid w:val="1FE061F7"/>
    <w:rsid w:val="1FE67A08"/>
    <w:rsid w:val="1FF83E14"/>
    <w:rsid w:val="207838BA"/>
    <w:rsid w:val="20B108D4"/>
    <w:rsid w:val="20B64D36"/>
    <w:rsid w:val="20DB72AB"/>
    <w:rsid w:val="20FF7577"/>
    <w:rsid w:val="21076FB0"/>
    <w:rsid w:val="21312503"/>
    <w:rsid w:val="2141460D"/>
    <w:rsid w:val="214F3380"/>
    <w:rsid w:val="21535882"/>
    <w:rsid w:val="216B700C"/>
    <w:rsid w:val="21C33500"/>
    <w:rsid w:val="21E93C86"/>
    <w:rsid w:val="222C235B"/>
    <w:rsid w:val="223034CD"/>
    <w:rsid w:val="22487D97"/>
    <w:rsid w:val="227162B0"/>
    <w:rsid w:val="229121BE"/>
    <w:rsid w:val="2297354C"/>
    <w:rsid w:val="22A23946"/>
    <w:rsid w:val="22B4283B"/>
    <w:rsid w:val="23221169"/>
    <w:rsid w:val="23305E7B"/>
    <w:rsid w:val="233B78B7"/>
    <w:rsid w:val="235C0A1E"/>
    <w:rsid w:val="23887A65"/>
    <w:rsid w:val="23A80E8E"/>
    <w:rsid w:val="23CF6177"/>
    <w:rsid w:val="23D95C8C"/>
    <w:rsid w:val="23F07EEE"/>
    <w:rsid w:val="24337533"/>
    <w:rsid w:val="24561911"/>
    <w:rsid w:val="245F7168"/>
    <w:rsid w:val="249814D4"/>
    <w:rsid w:val="24DE7D55"/>
    <w:rsid w:val="250474F1"/>
    <w:rsid w:val="25090E7B"/>
    <w:rsid w:val="252E0999"/>
    <w:rsid w:val="25490E90"/>
    <w:rsid w:val="256416EC"/>
    <w:rsid w:val="258C1362"/>
    <w:rsid w:val="25B64B69"/>
    <w:rsid w:val="25CB59E7"/>
    <w:rsid w:val="25E8752A"/>
    <w:rsid w:val="265D0168"/>
    <w:rsid w:val="268245B6"/>
    <w:rsid w:val="26887D7C"/>
    <w:rsid w:val="269513AC"/>
    <w:rsid w:val="26D0702D"/>
    <w:rsid w:val="26F6458E"/>
    <w:rsid w:val="27011AC5"/>
    <w:rsid w:val="27346A6A"/>
    <w:rsid w:val="275D2FB6"/>
    <w:rsid w:val="2774633A"/>
    <w:rsid w:val="27AB1F74"/>
    <w:rsid w:val="28386C27"/>
    <w:rsid w:val="283F090E"/>
    <w:rsid w:val="288F5A4E"/>
    <w:rsid w:val="28D85A5E"/>
    <w:rsid w:val="290C0DF1"/>
    <w:rsid w:val="29304E1A"/>
    <w:rsid w:val="294E07F4"/>
    <w:rsid w:val="296B6E9A"/>
    <w:rsid w:val="299215FF"/>
    <w:rsid w:val="299A107D"/>
    <w:rsid w:val="29A22391"/>
    <w:rsid w:val="29EC6874"/>
    <w:rsid w:val="29FA644B"/>
    <w:rsid w:val="2A042BE2"/>
    <w:rsid w:val="2A32072A"/>
    <w:rsid w:val="2A46375B"/>
    <w:rsid w:val="2A4978BC"/>
    <w:rsid w:val="2A7C7BF7"/>
    <w:rsid w:val="2A827ECE"/>
    <w:rsid w:val="2AA21199"/>
    <w:rsid w:val="2AC1385C"/>
    <w:rsid w:val="2AD00FC2"/>
    <w:rsid w:val="2AE140B3"/>
    <w:rsid w:val="2B0C0F7B"/>
    <w:rsid w:val="2B110340"/>
    <w:rsid w:val="2B661CFC"/>
    <w:rsid w:val="2B6629B7"/>
    <w:rsid w:val="2B8E4B51"/>
    <w:rsid w:val="2BA1144E"/>
    <w:rsid w:val="2BC30A53"/>
    <w:rsid w:val="2BF851C9"/>
    <w:rsid w:val="2C0C4708"/>
    <w:rsid w:val="2C191E39"/>
    <w:rsid w:val="2C357514"/>
    <w:rsid w:val="2C444986"/>
    <w:rsid w:val="2C464019"/>
    <w:rsid w:val="2C722A66"/>
    <w:rsid w:val="2C8C66E3"/>
    <w:rsid w:val="2C980EEA"/>
    <w:rsid w:val="2CB2345D"/>
    <w:rsid w:val="2D0001A8"/>
    <w:rsid w:val="2D0217A7"/>
    <w:rsid w:val="2D0637A8"/>
    <w:rsid w:val="2D88404B"/>
    <w:rsid w:val="2D990AC0"/>
    <w:rsid w:val="2DF126AA"/>
    <w:rsid w:val="2DFD1DD4"/>
    <w:rsid w:val="2E0C0731"/>
    <w:rsid w:val="2E3507E9"/>
    <w:rsid w:val="2E3A76F0"/>
    <w:rsid w:val="2E3F7499"/>
    <w:rsid w:val="2E92734E"/>
    <w:rsid w:val="2E933762"/>
    <w:rsid w:val="2EAC0C26"/>
    <w:rsid w:val="2EDE2F0D"/>
    <w:rsid w:val="2EE360AB"/>
    <w:rsid w:val="2EF57F78"/>
    <w:rsid w:val="2EF62BF0"/>
    <w:rsid w:val="2F070981"/>
    <w:rsid w:val="2F087CAC"/>
    <w:rsid w:val="2F305345"/>
    <w:rsid w:val="2F4A2072"/>
    <w:rsid w:val="2F87207A"/>
    <w:rsid w:val="2F8861AD"/>
    <w:rsid w:val="2F9C72EA"/>
    <w:rsid w:val="2FBA00DA"/>
    <w:rsid w:val="301835B3"/>
    <w:rsid w:val="306F277D"/>
    <w:rsid w:val="307F7AFA"/>
    <w:rsid w:val="30E318C2"/>
    <w:rsid w:val="30E91094"/>
    <w:rsid w:val="30EA60CD"/>
    <w:rsid w:val="31481885"/>
    <w:rsid w:val="314C0871"/>
    <w:rsid w:val="31750EFD"/>
    <w:rsid w:val="31D71052"/>
    <w:rsid w:val="31DE6AA2"/>
    <w:rsid w:val="31F86E0B"/>
    <w:rsid w:val="31FC0059"/>
    <w:rsid w:val="320F4AAF"/>
    <w:rsid w:val="322F027F"/>
    <w:rsid w:val="32347681"/>
    <w:rsid w:val="32592A84"/>
    <w:rsid w:val="326220EA"/>
    <w:rsid w:val="329C2436"/>
    <w:rsid w:val="32A92FAB"/>
    <w:rsid w:val="32B43831"/>
    <w:rsid w:val="32DF4EFB"/>
    <w:rsid w:val="32E26A66"/>
    <w:rsid w:val="33244988"/>
    <w:rsid w:val="333948D8"/>
    <w:rsid w:val="33592894"/>
    <w:rsid w:val="33786EDA"/>
    <w:rsid w:val="342C36C2"/>
    <w:rsid w:val="347018AE"/>
    <w:rsid w:val="34B306BA"/>
    <w:rsid w:val="34C35956"/>
    <w:rsid w:val="35040451"/>
    <w:rsid w:val="3513710C"/>
    <w:rsid w:val="353D05C5"/>
    <w:rsid w:val="35516E92"/>
    <w:rsid w:val="356D50E7"/>
    <w:rsid w:val="358637E1"/>
    <w:rsid w:val="35A149B6"/>
    <w:rsid w:val="35B13261"/>
    <w:rsid w:val="35B56D1B"/>
    <w:rsid w:val="35BB4AE9"/>
    <w:rsid w:val="35DE1766"/>
    <w:rsid w:val="360366BB"/>
    <w:rsid w:val="36105455"/>
    <w:rsid w:val="36177BC2"/>
    <w:rsid w:val="36363350"/>
    <w:rsid w:val="36A6445C"/>
    <w:rsid w:val="36AC3612"/>
    <w:rsid w:val="36C95F72"/>
    <w:rsid w:val="36CA7C2B"/>
    <w:rsid w:val="37380F5D"/>
    <w:rsid w:val="377A101B"/>
    <w:rsid w:val="37F25055"/>
    <w:rsid w:val="37F26F6F"/>
    <w:rsid w:val="37FB01A5"/>
    <w:rsid w:val="38117865"/>
    <w:rsid w:val="38143B4C"/>
    <w:rsid w:val="3827129A"/>
    <w:rsid w:val="384358B1"/>
    <w:rsid w:val="384930C0"/>
    <w:rsid w:val="38690680"/>
    <w:rsid w:val="387870C2"/>
    <w:rsid w:val="388D48F4"/>
    <w:rsid w:val="38B97A67"/>
    <w:rsid w:val="38C01EFC"/>
    <w:rsid w:val="38E94C2D"/>
    <w:rsid w:val="390B17A4"/>
    <w:rsid w:val="391C6CF8"/>
    <w:rsid w:val="394709F1"/>
    <w:rsid w:val="39B8192B"/>
    <w:rsid w:val="39F507EB"/>
    <w:rsid w:val="3A252DF0"/>
    <w:rsid w:val="3A5E23D3"/>
    <w:rsid w:val="3A9C3F2E"/>
    <w:rsid w:val="3AB4342E"/>
    <w:rsid w:val="3ABE3914"/>
    <w:rsid w:val="3ADE394A"/>
    <w:rsid w:val="3B1B6BFD"/>
    <w:rsid w:val="3B2E0A00"/>
    <w:rsid w:val="3B702A97"/>
    <w:rsid w:val="3BB814ED"/>
    <w:rsid w:val="3BC60CD2"/>
    <w:rsid w:val="3BE643BE"/>
    <w:rsid w:val="3C0027ED"/>
    <w:rsid w:val="3C0470CC"/>
    <w:rsid w:val="3C102617"/>
    <w:rsid w:val="3C535D05"/>
    <w:rsid w:val="3C664424"/>
    <w:rsid w:val="3C830363"/>
    <w:rsid w:val="3C9708C1"/>
    <w:rsid w:val="3CC26DD5"/>
    <w:rsid w:val="3CE024D8"/>
    <w:rsid w:val="3CE100B3"/>
    <w:rsid w:val="3D1E68A5"/>
    <w:rsid w:val="3D341859"/>
    <w:rsid w:val="3D4C16AB"/>
    <w:rsid w:val="3D864BBD"/>
    <w:rsid w:val="3DE90CA8"/>
    <w:rsid w:val="3DF43F0C"/>
    <w:rsid w:val="3E375356"/>
    <w:rsid w:val="3E9C3CA2"/>
    <w:rsid w:val="3EA572C5"/>
    <w:rsid w:val="3EA95327"/>
    <w:rsid w:val="3EDA6922"/>
    <w:rsid w:val="3F2A5A1C"/>
    <w:rsid w:val="3F57525E"/>
    <w:rsid w:val="3F823162"/>
    <w:rsid w:val="3FAD3050"/>
    <w:rsid w:val="402F6CDA"/>
    <w:rsid w:val="403D25CE"/>
    <w:rsid w:val="40477F08"/>
    <w:rsid w:val="4056071C"/>
    <w:rsid w:val="40747F85"/>
    <w:rsid w:val="40854466"/>
    <w:rsid w:val="40905E42"/>
    <w:rsid w:val="40A93F0E"/>
    <w:rsid w:val="40C82E4C"/>
    <w:rsid w:val="410A6ADC"/>
    <w:rsid w:val="4131338D"/>
    <w:rsid w:val="413518CB"/>
    <w:rsid w:val="41455423"/>
    <w:rsid w:val="414B4C30"/>
    <w:rsid w:val="41704B3F"/>
    <w:rsid w:val="41764F49"/>
    <w:rsid w:val="418262C0"/>
    <w:rsid w:val="4187405F"/>
    <w:rsid w:val="41B56CAA"/>
    <w:rsid w:val="41B617E9"/>
    <w:rsid w:val="41C6123D"/>
    <w:rsid w:val="41E2519D"/>
    <w:rsid w:val="41FC02B8"/>
    <w:rsid w:val="4235270E"/>
    <w:rsid w:val="426E4ABD"/>
    <w:rsid w:val="435D0512"/>
    <w:rsid w:val="436F7AE4"/>
    <w:rsid w:val="43B9268A"/>
    <w:rsid w:val="43C13671"/>
    <w:rsid w:val="441F6C6B"/>
    <w:rsid w:val="44385819"/>
    <w:rsid w:val="44CF1F71"/>
    <w:rsid w:val="450C46F7"/>
    <w:rsid w:val="453D2D7C"/>
    <w:rsid w:val="454D2FBB"/>
    <w:rsid w:val="455260C7"/>
    <w:rsid w:val="45604A5B"/>
    <w:rsid w:val="456A7CB2"/>
    <w:rsid w:val="45AF1C56"/>
    <w:rsid w:val="45CD398C"/>
    <w:rsid w:val="45DF267C"/>
    <w:rsid w:val="461A5173"/>
    <w:rsid w:val="4654512D"/>
    <w:rsid w:val="465F5982"/>
    <w:rsid w:val="4666072B"/>
    <w:rsid w:val="466E4440"/>
    <w:rsid w:val="46875502"/>
    <w:rsid w:val="468B4FF2"/>
    <w:rsid w:val="46B83099"/>
    <w:rsid w:val="46C432D2"/>
    <w:rsid w:val="46DB1F89"/>
    <w:rsid w:val="46E47E8D"/>
    <w:rsid w:val="46ED7A5B"/>
    <w:rsid w:val="46F2650B"/>
    <w:rsid w:val="47053157"/>
    <w:rsid w:val="4722535D"/>
    <w:rsid w:val="47555600"/>
    <w:rsid w:val="477D4389"/>
    <w:rsid w:val="47825A0F"/>
    <w:rsid w:val="478E0650"/>
    <w:rsid w:val="47995B66"/>
    <w:rsid w:val="47AD484B"/>
    <w:rsid w:val="47D227AD"/>
    <w:rsid w:val="47F873D7"/>
    <w:rsid w:val="4807607D"/>
    <w:rsid w:val="48174023"/>
    <w:rsid w:val="484653A1"/>
    <w:rsid w:val="485B27A2"/>
    <w:rsid w:val="489C4A2C"/>
    <w:rsid w:val="489F2FD7"/>
    <w:rsid w:val="48E1714C"/>
    <w:rsid w:val="48E96000"/>
    <w:rsid w:val="491603F6"/>
    <w:rsid w:val="49321118"/>
    <w:rsid w:val="49523BA5"/>
    <w:rsid w:val="496F0B9B"/>
    <w:rsid w:val="49784433"/>
    <w:rsid w:val="49803223"/>
    <w:rsid w:val="49945514"/>
    <w:rsid w:val="49D15412"/>
    <w:rsid w:val="49DB6AEE"/>
    <w:rsid w:val="4A231E0D"/>
    <w:rsid w:val="4A3C6B4E"/>
    <w:rsid w:val="4A5B700A"/>
    <w:rsid w:val="4A954692"/>
    <w:rsid w:val="4B1B446B"/>
    <w:rsid w:val="4B497FA2"/>
    <w:rsid w:val="4B693428"/>
    <w:rsid w:val="4B784AE9"/>
    <w:rsid w:val="4B79555B"/>
    <w:rsid w:val="4B83098E"/>
    <w:rsid w:val="4B9401CC"/>
    <w:rsid w:val="4B9C0DF2"/>
    <w:rsid w:val="4BA6598E"/>
    <w:rsid w:val="4BB9671B"/>
    <w:rsid w:val="4BC67D8A"/>
    <w:rsid w:val="4BE96317"/>
    <w:rsid w:val="4C1B0BC7"/>
    <w:rsid w:val="4C1C66ED"/>
    <w:rsid w:val="4C2D509A"/>
    <w:rsid w:val="4C453E95"/>
    <w:rsid w:val="4C675BBA"/>
    <w:rsid w:val="4C73635B"/>
    <w:rsid w:val="4CCE610B"/>
    <w:rsid w:val="4CD31CAF"/>
    <w:rsid w:val="4CE32A44"/>
    <w:rsid w:val="4CE904DA"/>
    <w:rsid w:val="4D2E1F21"/>
    <w:rsid w:val="4D6151FB"/>
    <w:rsid w:val="4D6B29E3"/>
    <w:rsid w:val="4D924EB8"/>
    <w:rsid w:val="4DEC5698"/>
    <w:rsid w:val="4E07181E"/>
    <w:rsid w:val="4E1907B5"/>
    <w:rsid w:val="4E331D11"/>
    <w:rsid w:val="4E4F4B28"/>
    <w:rsid w:val="4E925E32"/>
    <w:rsid w:val="4EBC31FC"/>
    <w:rsid w:val="4EC630F5"/>
    <w:rsid w:val="4EE86FA0"/>
    <w:rsid w:val="4F096F16"/>
    <w:rsid w:val="4F146D57"/>
    <w:rsid w:val="4F4315BD"/>
    <w:rsid w:val="4FD9304E"/>
    <w:rsid w:val="50607F9C"/>
    <w:rsid w:val="506E32E3"/>
    <w:rsid w:val="50711E42"/>
    <w:rsid w:val="50795EBC"/>
    <w:rsid w:val="50C307DD"/>
    <w:rsid w:val="50E01DCE"/>
    <w:rsid w:val="50F934A0"/>
    <w:rsid w:val="513D4EEC"/>
    <w:rsid w:val="514E559A"/>
    <w:rsid w:val="51544BA0"/>
    <w:rsid w:val="51587533"/>
    <w:rsid w:val="51785307"/>
    <w:rsid w:val="518D21E0"/>
    <w:rsid w:val="51E74B26"/>
    <w:rsid w:val="523E4FEE"/>
    <w:rsid w:val="5277577A"/>
    <w:rsid w:val="529214B7"/>
    <w:rsid w:val="52AD37E7"/>
    <w:rsid w:val="52B07FB8"/>
    <w:rsid w:val="52D40D94"/>
    <w:rsid w:val="52ED681F"/>
    <w:rsid w:val="530F6ED6"/>
    <w:rsid w:val="53267714"/>
    <w:rsid w:val="5374066E"/>
    <w:rsid w:val="53F00B8B"/>
    <w:rsid w:val="53F22B29"/>
    <w:rsid w:val="542B3B05"/>
    <w:rsid w:val="54387E3C"/>
    <w:rsid w:val="54482775"/>
    <w:rsid w:val="54754BEC"/>
    <w:rsid w:val="54771F9B"/>
    <w:rsid w:val="54801B71"/>
    <w:rsid w:val="54901D53"/>
    <w:rsid w:val="54B0429B"/>
    <w:rsid w:val="54DE4E87"/>
    <w:rsid w:val="550069F8"/>
    <w:rsid w:val="551868DC"/>
    <w:rsid w:val="553B069A"/>
    <w:rsid w:val="55A2598D"/>
    <w:rsid w:val="55B17702"/>
    <w:rsid w:val="5604091D"/>
    <w:rsid w:val="562D34BA"/>
    <w:rsid w:val="5665327D"/>
    <w:rsid w:val="5676725E"/>
    <w:rsid w:val="569845A2"/>
    <w:rsid w:val="56AA6EBA"/>
    <w:rsid w:val="56D965EC"/>
    <w:rsid w:val="56E60144"/>
    <w:rsid w:val="56E9213D"/>
    <w:rsid w:val="56FA1F39"/>
    <w:rsid w:val="571C4B71"/>
    <w:rsid w:val="5778566A"/>
    <w:rsid w:val="57930190"/>
    <w:rsid w:val="58036BF7"/>
    <w:rsid w:val="58157F16"/>
    <w:rsid w:val="581D5AB6"/>
    <w:rsid w:val="583D414B"/>
    <w:rsid w:val="584E4E19"/>
    <w:rsid w:val="585E6E69"/>
    <w:rsid w:val="58960FC9"/>
    <w:rsid w:val="59073B5E"/>
    <w:rsid w:val="59246C05"/>
    <w:rsid w:val="59527BF2"/>
    <w:rsid w:val="596077B9"/>
    <w:rsid w:val="59721B47"/>
    <w:rsid w:val="59756FAE"/>
    <w:rsid w:val="59945B14"/>
    <w:rsid w:val="59C12681"/>
    <w:rsid w:val="59F45113"/>
    <w:rsid w:val="5A2A2253"/>
    <w:rsid w:val="5A3748A6"/>
    <w:rsid w:val="5A471BFC"/>
    <w:rsid w:val="5A495ECF"/>
    <w:rsid w:val="5A4C120D"/>
    <w:rsid w:val="5A6A088F"/>
    <w:rsid w:val="5A6C6C61"/>
    <w:rsid w:val="5ABF0323"/>
    <w:rsid w:val="5ACF70DC"/>
    <w:rsid w:val="5AE87A58"/>
    <w:rsid w:val="5B3069A9"/>
    <w:rsid w:val="5B3C14E3"/>
    <w:rsid w:val="5B4A0515"/>
    <w:rsid w:val="5B5E27B1"/>
    <w:rsid w:val="5BD40954"/>
    <w:rsid w:val="5C57280E"/>
    <w:rsid w:val="5C8B3F62"/>
    <w:rsid w:val="5C9D254F"/>
    <w:rsid w:val="5CFA5AB1"/>
    <w:rsid w:val="5D182948"/>
    <w:rsid w:val="5D4D4B30"/>
    <w:rsid w:val="5D6A375C"/>
    <w:rsid w:val="5D9A5891"/>
    <w:rsid w:val="5E421FE3"/>
    <w:rsid w:val="5E4C4F00"/>
    <w:rsid w:val="5E747B89"/>
    <w:rsid w:val="5EA84539"/>
    <w:rsid w:val="5EB82B14"/>
    <w:rsid w:val="5EBF3F02"/>
    <w:rsid w:val="5ECF75EF"/>
    <w:rsid w:val="5ED25734"/>
    <w:rsid w:val="5EFB0F00"/>
    <w:rsid w:val="5F17346F"/>
    <w:rsid w:val="5FA8535C"/>
    <w:rsid w:val="5FB264FA"/>
    <w:rsid w:val="5FEA2E20"/>
    <w:rsid w:val="60310D39"/>
    <w:rsid w:val="604F06A8"/>
    <w:rsid w:val="60997EB4"/>
    <w:rsid w:val="60A46F85"/>
    <w:rsid w:val="60F31048"/>
    <w:rsid w:val="610C3387"/>
    <w:rsid w:val="61574B46"/>
    <w:rsid w:val="617D4D72"/>
    <w:rsid w:val="617E27A1"/>
    <w:rsid w:val="617F354E"/>
    <w:rsid w:val="61B52E7F"/>
    <w:rsid w:val="61DC46B5"/>
    <w:rsid w:val="61DF169E"/>
    <w:rsid w:val="61ED495B"/>
    <w:rsid w:val="624E7154"/>
    <w:rsid w:val="62DB694B"/>
    <w:rsid w:val="62EF025F"/>
    <w:rsid w:val="6338794E"/>
    <w:rsid w:val="63660A9C"/>
    <w:rsid w:val="639E4765"/>
    <w:rsid w:val="63B745C8"/>
    <w:rsid w:val="63DA4D8E"/>
    <w:rsid w:val="641F1E85"/>
    <w:rsid w:val="64507B76"/>
    <w:rsid w:val="64A5151D"/>
    <w:rsid w:val="64BC4836"/>
    <w:rsid w:val="64BF526D"/>
    <w:rsid w:val="64D9181F"/>
    <w:rsid w:val="650870FF"/>
    <w:rsid w:val="65100D7D"/>
    <w:rsid w:val="651C667D"/>
    <w:rsid w:val="651D7306"/>
    <w:rsid w:val="653042A6"/>
    <w:rsid w:val="65461DA0"/>
    <w:rsid w:val="65482BBD"/>
    <w:rsid w:val="65487780"/>
    <w:rsid w:val="656E7B61"/>
    <w:rsid w:val="658E072A"/>
    <w:rsid w:val="6592488B"/>
    <w:rsid w:val="65CE40B2"/>
    <w:rsid w:val="66703465"/>
    <w:rsid w:val="668138C4"/>
    <w:rsid w:val="670E371D"/>
    <w:rsid w:val="672229B1"/>
    <w:rsid w:val="673B3A73"/>
    <w:rsid w:val="67672ABA"/>
    <w:rsid w:val="676919DE"/>
    <w:rsid w:val="678443B1"/>
    <w:rsid w:val="67DC4390"/>
    <w:rsid w:val="67FE7571"/>
    <w:rsid w:val="684F3C7A"/>
    <w:rsid w:val="68575469"/>
    <w:rsid w:val="687B0544"/>
    <w:rsid w:val="687D4DF4"/>
    <w:rsid w:val="68945A3C"/>
    <w:rsid w:val="68AF6D2E"/>
    <w:rsid w:val="690A5DF3"/>
    <w:rsid w:val="6933041D"/>
    <w:rsid w:val="694330B3"/>
    <w:rsid w:val="69650AD5"/>
    <w:rsid w:val="69860BD6"/>
    <w:rsid w:val="698F343B"/>
    <w:rsid w:val="69AE49D0"/>
    <w:rsid w:val="69C77840"/>
    <w:rsid w:val="69DB390C"/>
    <w:rsid w:val="69E15BCD"/>
    <w:rsid w:val="69E91EAC"/>
    <w:rsid w:val="6A053100"/>
    <w:rsid w:val="6A1F142A"/>
    <w:rsid w:val="6A23113A"/>
    <w:rsid w:val="6A5D01A4"/>
    <w:rsid w:val="6A65653D"/>
    <w:rsid w:val="6A667FCA"/>
    <w:rsid w:val="6A69220E"/>
    <w:rsid w:val="6A707849"/>
    <w:rsid w:val="6A890F99"/>
    <w:rsid w:val="6AD12A7D"/>
    <w:rsid w:val="6AD23F0F"/>
    <w:rsid w:val="6ADC4925"/>
    <w:rsid w:val="6AF6358C"/>
    <w:rsid w:val="6B23319C"/>
    <w:rsid w:val="6B251D96"/>
    <w:rsid w:val="6B625051"/>
    <w:rsid w:val="6B743227"/>
    <w:rsid w:val="6BAF2C82"/>
    <w:rsid w:val="6BD555A9"/>
    <w:rsid w:val="6C1869C8"/>
    <w:rsid w:val="6C1F24B5"/>
    <w:rsid w:val="6C5327A4"/>
    <w:rsid w:val="6C75150C"/>
    <w:rsid w:val="6C7C2B90"/>
    <w:rsid w:val="6C986AEF"/>
    <w:rsid w:val="6CC462B9"/>
    <w:rsid w:val="6CE22AC7"/>
    <w:rsid w:val="6CE945EA"/>
    <w:rsid w:val="6D033F55"/>
    <w:rsid w:val="6D2317DC"/>
    <w:rsid w:val="6D4224EB"/>
    <w:rsid w:val="6D4D2752"/>
    <w:rsid w:val="6D650363"/>
    <w:rsid w:val="6D8048D6"/>
    <w:rsid w:val="6DF60279"/>
    <w:rsid w:val="6DFA4688"/>
    <w:rsid w:val="6E745DE4"/>
    <w:rsid w:val="6E7F4DE3"/>
    <w:rsid w:val="6EAE1B84"/>
    <w:rsid w:val="6EB576C9"/>
    <w:rsid w:val="6EDC6E70"/>
    <w:rsid w:val="6EE71913"/>
    <w:rsid w:val="6F453904"/>
    <w:rsid w:val="6F4A4AFA"/>
    <w:rsid w:val="6F6B465C"/>
    <w:rsid w:val="6FA26D85"/>
    <w:rsid w:val="6FA81EC2"/>
    <w:rsid w:val="6FAA2D41"/>
    <w:rsid w:val="6FC01A57"/>
    <w:rsid w:val="6FC531B4"/>
    <w:rsid w:val="6FF9096F"/>
    <w:rsid w:val="70003AAC"/>
    <w:rsid w:val="70194B6E"/>
    <w:rsid w:val="705115D7"/>
    <w:rsid w:val="70800BBC"/>
    <w:rsid w:val="709E0678"/>
    <w:rsid w:val="70A319EE"/>
    <w:rsid w:val="70A430A0"/>
    <w:rsid w:val="70D70CB1"/>
    <w:rsid w:val="70F3653D"/>
    <w:rsid w:val="710D19B6"/>
    <w:rsid w:val="712F289B"/>
    <w:rsid w:val="71306613"/>
    <w:rsid w:val="713F31CF"/>
    <w:rsid w:val="719E1B0E"/>
    <w:rsid w:val="71A36DE5"/>
    <w:rsid w:val="71B21A79"/>
    <w:rsid w:val="71B508B0"/>
    <w:rsid w:val="71D4494F"/>
    <w:rsid w:val="71D55D1F"/>
    <w:rsid w:val="71E2666D"/>
    <w:rsid w:val="72011D3B"/>
    <w:rsid w:val="72102999"/>
    <w:rsid w:val="7231563C"/>
    <w:rsid w:val="72477B33"/>
    <w:rsid w:val="724F7BC5"/>
    <w:rsid w:val="725058CB"/>
    <w:rsid w:val="7262720C"/>
    <w:rsid w:val="728A4470"/>
    <w:rsid w:val="728E1843"/>
    <w:rsid w:val="72A23729"/>
    <w:rsid w:val="72DB36BE"/>
    <w:rsid w:val="731342AB"/>
    <w:rsid w:val="731F06ED"/>
    <w:rsid w:val="735E26AC"/>
    <w:rsid w:val="73656E4C"/>
    <w:rsid w:val="73873F96"/>
    <w:rsid w:val="73AD6B9E"/>
    <w:rsid w:val="73E9733F"/>
    <w:rsid w:val="7419513C"/>
    <w:rsid w:val="741C4CF6"/>
    <w:rsid w:val="742835D1"/>
    <w:rsid w:val="74462DED"/>
    <w:rsid w:val="74A024E4"/>
    <w:rsid w:val="74F3598D"/>
    <w:rsid w:val="750202C6"/>
    <w:rsid w:val="750E6C6B"/>
    <w:rsid w:val="75412B9C"/>
    <w:rsid w:val="75497C91"/>
    <w:rsid w:val="756712E2"/>
    <w:rsid w:val="75BC0F46"/>
    <w:rsid w:val="75C64E50"/>
    <w:rsid w:val="75D7633E"/>
    <w:rsid w:val="75EF3A0B"/>
    <w:rsid w:val="760153E7"/>
    <w:rsid w:val="763C7E39"/>
    <w:rsid w:val="764D622A"/>
    <w:rsid w:val="767E1A75"/>
    <w:rsid w:val="7709405E"/>
    <w:rsid w:val="77340413"/>
    <w:rsid w:val="776E1C43"/>
    <w:rsid w:val="777E4F08"/>
    <w:rsid w:val="77DD5B1C"/>
    <w:rsid w:val="780675A4"/>
    <w:rsid w:val="78346FCF"/>
    <w:rsid w:val="784A4CFD"/>
    <w:rsid w:val="78744A17"/>
    <w:rsid w:val="78744A2E"/>
    <w:rsid w:val="78AA5D54"/>
    <w:rsid w:val="78AC1FE8"/>
    <w:rsid w:val="78BC7E69"/>
    <w:rsid w:val="79047D48"/>
    <w:rsid w:val="791052E7"/>
    <w:rsid w:val="79266A35"/>
    <w:rsid w:val="79271D4B"/>
    <w:rsid w:val="794E0A0D"/>
    <w:rsid w:val="795B270E"/>
    <w:rsid w:val="79984715"/>
    <w:rsid w:val="79AC134F"/>
    <w:rsid w:val="79C67B14"/>
    <w:rsid w:val="7A304ECF"/>
    <w:rsid w:val="7A324F0E"/>
    <w:rsid w:val="7A3F4E41"/>
    <w:rsid w:val="7A707E68"/>
    <w:rsid w:val="7AD74CAB"/>
    <w:rsid w:val="7AF5268B"/>
    <w:rsid w:val="7B362FAD"/>
    <w:rsid w:val="7B974D22"/>
    <w:rsid w:val="7BA6789E"/>
    <w:rsid w:val="7BD40296"/>
    <w:rsid w:val="7BD4678A"/>
    <w:rsid w:val="7BDD78BF"/>
    <w:rsid w:val="7BF263FB"/>
    <w:rsid w:val="7C1735F1"/>
    <w:rsid w:val="7CE25AE5"/>
    <w:rsid w:val="7D49439B"/>
    <w:rsid w:val="7D605B8A"/>
    <w:rsid w:val="7D903B79"/>
    <w:rsid w:val="7DB124DF"/>
    <w:rsid w:val="7DB66040"/>
    <w:rsid w:val="7E215319"/>
    <w:rsid w:val="7EA02E2E"/>
    <w:rsid w:val="7EB951AD"/>
    <w:rsid w:val="7EFD1A3B"/>
    <w:rsid w:val="7EFD5331"/>
    <w:rsid w:val="7F267970"/>
    <w:rsid w:val="7F723CC4"/>
    <w:rsid w:val="7F752E18"/>
    <w:rsid w:val="7F967F89"/>
    <w:rsid w:val="7FC7605A"/>
    <w:rsid w:val="7FD64829"/>
    <w:rsid w:val="7FEA5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4">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5">
    <w:name w:val="heading 3"/>
    <w:basedOn w:val="1"/>
    <w:next w:val="1"/>
    <w:link w:val="27"/>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Lines="0" w:afterLines="0" w:line="240" w:lineRule="auto"/>
      <w:jc w:val="left"/>
      <w:outlineLvl w:val="3"/>
    </w:pPr>
    <w:rPr>
      <w:rFonts w:hint="eastAsia" w:ascii="Arial" w:hAnsi="Arial" w:eastAsia="宋体" w:cs="Times New Roman"/>
      <w:b/>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before="100" w:beforeAutospacing="1" w:after="120" w:line="360" w:lineRule="auto"/>
      <w:ind w:firstLine="200" w:firstLineChars="200"/>
    </w:pPr>
    <w:rPr>
      <w:rFonts w:ascii="Arial" w:hAnsi="Arial" w:cs="Arial"/>
      <w:sz w:val="24"/>
      <w:szCs w:val="24"/>
    </w:rPr>
  </w:style>
  <w:style w:type="paragraph" w:styleId="7">
    <w:name w:val="Normal Indent"/>
    <w:basedOn w:val="1"/>
    <w:qFormat/>
    <w:uiPriority w:val="0"/>
    <w:pPr>
      <w:adjustRightInd w:val="0"/>
      <w:snapToGrid w:val="0"/>
      <w:spacing w:line="360" w:lineRule="auto"/>
      <w:ind w:firstLine="420"/>
    </w:pPr>
    <w:rPr>
      <w:sz w:val="24"/>
    </w:rPr>
  </w:style>
  <w:style w:type="paragraph" w:styleId="8">
    <w:name w:val="annotation text"/>
    <w:basedOn w:val="1"/>
    <w:qFormat/>
    <w:uiPriority w:val="0"/>
    <w:pPr>
      <w:adjustRightInd w:val="0"/>
      <w:spacing w:line="360" w:lineRule="atLeast"/>
      <w:jc w:val="left"/>
      <w:textAlignment w:val="baseline"/>
    </w:pPr>
    <w:rPr>
      <w:kern w:val="0"/>
      <w:sz w:val="24"/>
    </w:rPr>
  </w:style>
  <w:style w:type="paragraph" w:styleId="9">
    <w:name w:val="Body Text Indent"/>
    <w:basedOn w:val="1"/>
    <w:link w:val="31"/>
    <w:qFormat/>
    <w:uiPriority w:val="0"/>
    <w:pPr>
      <w:spacing w:after="120"/>
      <w:ind w:left="420" w:leftChars="200"/>
    </w:pPr>
  </w:style>
  <w:style w:type="paragraph" w:styleId="10">
    <w:name w:val="Plain Text"/>
    <w:basedOn w:val="1"/>
    <w:link w:val="25"/>
    <w:qFormat/>
    <w:uiPriority w:val="0"/>
    <w:rPr>
      <w:rFonts w:ascii="宋体" w:hAnsi="Courier New"/>
      <w:szCs w:val="21"/>
    </w:rPr>
  </w:style>
  <w:style w:type="paragraph" w:styleId="11">
    <w:name w:val="Date"/>
    <w:basedOn w:val="1"/>
    <w:next w:val="1"/>
    <w:link w:val="26"/>
    <w:qFormat/>
    <w:uiPriority w:val="0"/>
    <w:rPr>
      <w:sz w:val="28"/>
      <w:szCs w:val="20"/>
    </w:rPr>
  </w:style>
  <w:style w:type="paragraph" w:styleId="12">
    <w:name w:val="Body Text Indent 2"/>
    <w:basedOn w:val="1"/>
    <w:link w:val="29"/>
    <w:qFormat/>
    <w:uiPriority w:val="0"/>
    <w:pPr>
      <w:snapToGrid w:val="0"/>
      <w:spacing w:line="560" w:lineRule="atLeast"/>
      <w:ind w:firstLine="540"/>
    </w:pPr>
    <w:rPr>
      <w:sz w:val="28"/>
      <w:szCs w:val="20"/>
    </w:rPr>
  </w:style>
  <w:style w:type="paragraph" w:styleId="13">
    <w:name w:val="Balloon Text"/>
    <w:basedOn w:val="1"/>
    <w:qFormat/>
    <w:uiPriority w:val="0"/>
    <w:rPr>
      <w:sz w:val="18"/>
      <w:szCs w:val="18"/>
    </w:rPr>
  </w:style>
  <w:style w:type="paragraph" w:styleId="14">
    <w:name w:val="footer"/>
    <w:basedOn w:val="1"/>
    <w:link w:val="30"/>
    <w:qFormat/>
    <w:uiPriority w:val="99"/>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39"/>
    <w:pPr>
      <w:spacing w:line="180" w:lineRule="auto"/>
      <w:jc w:val="center"/>
    </w:pPr>
    <w:rPr>
      <w:sz w:val="30"/>
      <w:szCs w:val="20"/>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Body Text First Indent 2"/>
    <w:basedOn w:val="9"/>
    <w:qFormat/>
    <w:uiPriority w:val="0"/>
    <w:pPr>
      <w:spacing w:line="360" w:lineRule="exact"/>
      <w:ind w:left="0" w:firstLine="482"/>
    </w:pPr>
    <w:rPr>
      <w:rFonts w:ascii="Arial" w:hAnsi="Arial"/>
      <w:sz w:val="24"/>
    </w:rPr>
  </w:style>
  <w:style w:type="table" w:styleId="20">
    <w:name w:val="Table Grid"/>
    <w:basedOn w:val="1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qFormat/>
    <w:uiPriority w:val="99"/>
    <w:rPr>
      <w:color w:val="0000FF"/>
      <w:u w:val="single"/>
    </w:rPr>
  </w:style>
  <w:style w:type="paragraph" w:customStyle="1" w:styleId="24">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25">
    <w:name w:val="纯文本 Char"/>
    <w:link w:val="10"/>
    <w:qFormat/>
    <w:uiPriority w:val="0"/>
    <w:rPr>
      <w:rFonts w:ascii="宋体" w:hAnsi="Courier New" w:cs="Courier New"/>
      <w:kern w:val="2"/>
      <w:sz w:val="21"/>
      <w:szCs w:val="21"/>
    </w:rPr>
  </w:style>
  <w:style w:type="character" w:customStyle="1" w:styleId="26">
    <w:name w:val="日期 Char"/>
    <w:link w:val="11"/>
    <w:qFormat/>
    <w:uiPriority w:val="0"/>
    <w:rPr>
      <w:kern w:val="2"/>
      <w:sz w:val="28"/>
    </w:rPr>
  </w:style>
  <w:style w:type="character" w:customStyle="1" w:styleId="27">
    <w:name w:val="标题 3 Char"/>
    <w:link w:val="5"/>
    <w:qFormat/>
    <w:uiPriority w:val="0"/>
    <w:rPr>
      <w:b/>
      <w:bCs/>
      <w:kern w:val="2"/>
      <w:sz w:val="32"/>
      <w:szCs w:val="32"/>
    </w:rPr>
  </w:style>
  <w:style w:type="character" w:customStyle="1" w:styleId="28">
    <w:name w:val="正文文本缩进 2 Char1"/>
    <w:qFormat/>
    <w:uiPriority w:val="0"/>
    <w:rPr>
      <w:kern w:val="2"/>
      <w:sz w:val="21"/>
      <w:szCs w:val="24"/>
    </w:rPr>
  </w:style>
  <w:style w:type="character" w:customStyle="1" w:styleId="29">
    <w:name w:val="正文文本缩进 2 Char"/>
    <w:link w:val="12"/>
    <w:qFormat/>
    <w:uiPriority w:val="0"/>
    <w:rPr>
      <w:kern w:val="2"/>
      <w:sz w:val="28"/>
    </w:rPr>
  </w:style>
  <w:style w:type="character" w:customStyle="1" w:styleId="30">
    <w:name w:val="页脚 Char"/>
    <w:link w:val="14"/>
    <w:qFormat/>
    <w:uiPriority w:val="99"/>
    <w:rPr>
      <w:kern w:val="2"/>
      <w:sz w:val="18"/>
      <w:szCs w:val="24"/>
    </w:rPr>
  </w:style>
  <w:style w:type="character" w:customStyle="1" w:styleId="31">
    <w:name w:val="正文文本缩进 Char"/>
    <w:link w:val="9"/>
    <w:qFormat/>
    <w:uiPriority w:val="0"/>
    <w:rPr>
      <w:kern w:val="2"/>
      <w:sz w:val="21"/>
      <w:szCs w:val="24"/>
    </w:rPr>
  </w:style>
  <w:style w:type="paragraph" w:customStyle="1" w:styleId="32">
    <w:name w:val="1"/>
    <w:basedOn w:val="1"/>
    <w:next w:val="10"/>
    <w:qFormat/>
    <w:uiPriority w:val="0"/>
    <w:rPr>
      <w:rFonts w:ascii="宋体" w:hAnsi="Courier New"/>
      <w:szCs w:val="20"/>
    </w:rPr>
  </w:style>
  <w:style w:type="character" w:customStyle="1" w:styleId="33">
    <w:name w:val="标题 1 Char1"/>
    <w:qFormat/>
    <w:uiPriority w:val="0"/>
    <w:rPr>
      <w:rFonts w:ascii="Times New Roman" w:hAnsi="Times New Roman" w:eastAsia="宋体" w:cs="Times New Roman"/>
      <w:b/>
      <w:bCs/>
      <w:kern w:val="44"/>
      <w:sz w:val="32"/>
      <w:szCs w:val="44"/>
    </w:rPr>
  </w:style>
  <w:style w:type="paragraph" w:styleId="34">
    <w:name w:val="List Paragraph"/>
    <w:basedOn w:val="1"/>
    <w:qFormat/>
    <w:uiPriority w:val="34"/>
    <w:pPr>
      <w:ind w:firstLine="420" w:firstLineChars="200"/>
    </w:pPr>
  </w:style>
  <w:style w:type="character" w:customStyle="1" w:styleId="35">
    <w:name w:val="NormalCharacter"/>
    <w:semiHidden/>
    <w:qFormat/>
    <w:uiPriority w:val="0"/>
  </w:style>
  <w:style w:type="character" w:customStyle="1" w:styleId="36">
    <w:name w:val="UserStyle_1"/>
    <w:qFormat/>
    <w:uiPriority w:val="0"/>
    <w:rPr>
      <w:rFonts w:ascii="仿宋" w:hAnsi="仿宋"/>
      <w:color w:val="000000"/>
      <w:sz w:val="22"/>
      <w:szCs w:val="22"/>
    </w:rPr>
  </w:style>
  <w:style w:type="paragraph" w:customStyle="1" w:styleId="37">
    <w:name w:val="图例"/>
    <w:basedOn w:val="1"/>
    <w:qFormat/>
    <w:uiPriority w:val="0"/>
    <w:pPr>
      <w:spacing w:before="120" w:after="12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13432</Words>
  <Characters>13724</Characters>
  <Lines>61</Lines>
  <Paragraphs>17</Paragraphs>
  <TotalTime>0</TotalTime>
  <ScaleCrop>false</ScaleCrop>
  <LinksUpToDate>false</LinksUpToDate>
  <CharactersWithSpaces>14773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2022-09-05T07:33:00Z</dcterms:created>
  <dc:creator>LP</dc:creator>
  <cp:lastModifiedBy>袁小妍</cp:lastModifiedBy>
  <cp:lastPrinted>2021-12-08T07:07:00Z</cp:lastPrinted>
  <dcterms:modified xsi:type="dcterms:W3CDTF">2023-10-26T06:23:55Z</dcterms:modified>
  <dc:title>项目名称：重庆医科大学附属大学城医院（一期）</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8F1404BEF69846A482816242DC7029AF</vt:lpwstr>
  </property>
</Properties>
</file>