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AE189">
      <w:pPr>
        <w:widowControl/>
        <w:spacing w:line="560" w:lineRule="exact"/>
        <w:jc w:val="center"/>
        <w:rPr>
          <w:rFonts w:ascii="方正小标宋_GBK" w:hAnsi="方正小标宋_GBK" w:eastAsia="方正小标宋_GBK" w:cs="方正小标宋_GBK"/>
          <w:kern w:val="0"/>
          <w:sz w:val="44"/>
          <w:szCs w:val="44"/>
          <w:highlight w:val="none"/>
          <w:lang w:bidi="ar"/>
        </w:rPr>
      </w:pPr>
      <w:r>
        <w:rPr>
          <w:rFonts w:hint="eastAsia" w:ascii="方正小标宋_GBK" w:hAnsi="方正小标宋_GBK" w:eastAsia="方正小标宋_GBK" w:cs="方正小标宋_GBK"/>
          <w:kern w:val="0"/>
          <w:sz w:val="44"/>
          <w:szCs w:val="44"/>
          <w:highlight w:val="none"/>
          <w:lang w:bidi="ar"/>
        </w:rPr>
        <w:t>重庆医科大学附属康复医院</w:t>
      </w:r>
    </w:p>
    <w:p w14:paraId="38CA4853">
      <w:pPr>
        <w:widowControl/>
        <w:spacing w:line="560" w:lineRule="exact"/>
        <w:jc w:val="center"/>
        <w:rPr>
          <w:rFonts w:ascii="方正小标宋_GBK" w:hAnsi="方正小标宋_GBK" w:eastAsia="方正小标宋_GBK" w:cs="方正小标宋_GBK"/>
          <w:kern w:val="0"/>
          <w:sz w:val="44"/>
          <w:szCs w:val="44"/>
          <w:highlight w:val="none"/>
          <w:lang w:val="de-DE" w:bidi="ar"/>
        </w:rPr>
      </w:pPr>
      <w:r>
        <w:rPr>
          <w:rFonts w:hint="eastAsia" w:ascii="方正小标宋_GBK" w:hAnsi="方正小标宋_GBK" w:eastAsia="方正小标宋_GBK" w:cs="方正小标宋_GBK"/>
          <w:kern w:val="0"/>
          <w:sz w:val="44"/>
          <w:szCs w:val="44"/>
          <w:highlight w:val="none"/>
          <w:lang w:val="en-US" w:eastAsia="zh-CN" w:bidi="ar"/>
        </w:rPr>
        <w:t>合理用药系统服务项目</w:t>
      </w:r>
      <w:r>
        <w:rPr>
          <w:rFonts w:hint="eastAsia" w:ascii="方正小标宋_GBK" w:hAnsi="方正小标宋_GBK" w:eastAsia="方正小标宋_GBK" w:cs="方正小标宋_GBK"/>
          <w:kern w:val="0"/>
          <w:sz w:val="44"/>
          <w:szCs w:val="44"/>
          <w:highlight w:val="none"/>
          <w:lang w:bidi="ar"/>
        </w:rPr>
        <w:t>需求文件</w:t>
      </w:r>
    </w:p>
    <w:p w14:paraId="3CAA0D73">
      <w:pPr>
        <w:widowControl/>
        <w:spacing w:line="560" w:lineRule="exact"/>
        <w:jc w:val="center"/>
        <w:rPr>
          <w:rFonts w:ascii="仿宋" w:hAnsi="仿宋" w:eastAsia="仿宋" w:cs="仿宋"/>
          <w:b/>
          <w:bCs/>
          <w:kern w:val="0"/>
          <w:sz w:val="32"/>
          <w:szCs w:val="32"/>
          <w:highlight w:val="none"/>
          <w:lang w:bidi="ar"/>
        </w:rPr>
      </w:pPr>
    </w:p>
    <w:p w14:paraId="4DCA6E1C">
      <w:pPr>
        <w:widowControl/>
        <w:numPr>
          <w:ilvl w:val="0"/>
          <w:numId w:val="0"/>
        </w:numPr>
        <w:spacing w:line="500" w:lineRule="exact"/>
        <w:jc w:val="left"/>
        <w:rPr>
          <w:rFonts w:hint="eastAsia" w:ascii="仿宋_GB2312" w:eastAsia="仿宋_GB2312"/>
          <w:color w:val="000000"/>
          <w:kern w:val="0"/>
          <w:sz w:val="28"/>
          <w:szCs w:val="28"/>
          <w:highlight w:val="none"/>
          <w:lang w:val="en-US" w:eastAsia="zh-CN"/>
        </w:rPr>
      </w:pPr>
      <w:r>
        <w:rPr>
          <w:rFonts w:hint="eastAsia" w:ascii="方正黑体_GBK" w:hAnsi="方正黑体_GBK" w:eastAsia="方正黑体_GBK" w:cs="方正黑体_GBK"/>
          <w:kern w:val="0"/>
          <w:sz w:val="28"/>
          <w:szCs w:val="28"/>
          <w:highlight w:val="none"/>
          <w:lang w:val="en-US" w:eastAsia="zh-CN" w:bidi="ar"/>
        </w:rPr>
        <w:t>一、</w:t>
      </w:r>
      <w:r>
        <w:rPr>
          <w:rFonts w:hint="eastAsia" w:ascii="方正黑体_GBK" w:hAnsi="方正黑体_GBK" w:eastAsia="方正黑体_GBK" w:cs="方正黑体_GBK"/>
          <w:kern w:val="0"/>
          <w:sz w:val="28"/>
          <w:szCs w:val="28"/>
          <w:highlight w:val="none"/>
          <w:lang w:bidi="ar"/>
        </w:rPr>
        <w:t>采购项目名称：合理用药系统服务项目需求文件</w:t>
      </w:r>
    </w:p>
    <w:p w14:paraId="53CA186F">
      <w:pPr>
        <w:widowControl/>
        <w:numPr>
          <w:ilvl w:val="0"/>
          <w:numId w:val="5"/>
        </w:numPr>
        <w:spacing w:line="500" w:lineRule="exact"/>
        <w:jc w:val="left"/>
        <w:rPr>
          <w:rFonts w:hint="default" w:ascii="方正仿宋_GBK" w:hAnsi="方正仿宋_GBK" w:eastAsia="方正黑体_GBK" w:cs="方正仿宋_GBK"/>
          <w:kern w:val="0"/>
          <w:sz w:val="28"/>
          <w:szCs w:val="28"/>
          <w:highlight w:val="none"/>
          <w:lang w:val="en-US" w:eastAsia="zh-CN" w:bidi="ar"/>
        </w:rPr>
      </w:pPr>
      <w:r>
        <w:rPr>
          <w:rFonts w:hint="eastAsia" w:ascii="方正黑体_GBK" w:hAnsi="方正黑体_GBK" w:eastAsia="方正黑体_GBK" w:cs="方正黑体_GBK"/>
          <w:kern w:val="0"/>
          <w:sz w:val="28"/>
          <w:szCs w:val="28"/>
          <w:highlight w:val="none"/>
          <w:lang w:bidi="ar"/>
        </w:rPr>
        <w:t>采购预算：</w:t>
      </w:r>
      <w:r>
        <w:rPr>
          <w:rFonts w:hint="eastAsia" w:ascii="方正黑体_GBK" w:hAnsi="方正黑体_GBK" w:eastAsia="方正黑体_GBK" w:cs="方正黑体_GBK"/>
          <w:kern w:val="0"/>
          <w:sz w:val="28"/>
          <w:szCs w:val="28"/>
          <w:highlight w:val="none"/>
          <w:lang w:val="en-US" w:eastAsia="zh-CN" w:bidi="ar"/>
        </w:rPr>
        <w:t>4.9</w:t>
      </w:r>
      <w:r>
        <w:rPr>
          <w:rFonts w:hint="eastAsia" w:ascii="方正仿宋_GBK" w:hAnsi="方正仿宋_GBK" w:eastAsia="方正仿宋_GBK" w:cs="方正仿宋_GBK"/>
          <w:kern w:val="0"/>
          <w:sz w:val="28"/>
          <w:szCs w:val="28"/>
          <w:highlight w:val="none"/>
          <w:lang w:val="en-US" w:eastAsia="zh-CN" w:bidi="ar"/>
        </w:rPr>
        <w:t>万元</w:t>
      </w:r>
    </w:p>
    <w:p w14:paraId="6B4F4195">
      <w:pPr>
        <w:widowControl/>
        <w:spacing w:line="500" w:lineRule="exact"/>
        <w:jc w:val="left"/>
        <w:rPr>
          <w:rFonts w:ascii="方正仿宋_GBK" w:hAnsi="方正仿宋_GBK" w:eastAsia="方正仿宋_GBK" w:cs="方正仿宋_GBK"/>
          <w:kern w:val="0"/>
          <w:sz w:val="28"/>
          <w:szCs w:val="28"/>
          <w:highlight w:val="none"/>
          <w:lang w:bidi="ar"/>
        </w:rPr>
      </w:pPr>
      <w:r>
        <w:rPr>
          <w:rFonts w:hint="eastAsia" w:ascii="方正黑体_GBK" w:hAnsi="方正黑体_GBK" w:eastAsia="方正黑体_GBK" w:cs="方正黑体_GBK"/>
          <w:kern w:val="0"/>
          <w:sz w:val="28"/>
          <w:szCs w:val="28"/>
          <w:highlight w:val="none"/>
          <w:lang w:bidi="ar"/>
        </w:rPr>
        <w:t>三、资金来源：</w:t>
      </w:r>
      <w:r>
        <w:rPr>
          <w:rFonts w:hint="eastAsia" w:ascii="方正仿宋_GBK" w:hAnsi="方正仿宋_GBK" w:eastAsia="方正仿宋_GBK" w:cs="方正仿宋_GBK"/>
          <w:kern w:val="0"/>
          <w:sz w:val="28"/>
          <w:szCs w:val="28"/>
          <w:highlight w:val="none"/>
          <w:lang w:bidi="ar"/>
        </w:rPr>
        <w:t>自筹</w:t>
      </w:r>
    </w:p>
    <w:p w14:paraId="22A6BFA6">
      <w:pPr>
        <w:widowControl/>
        <w:spacing w:line="500" w:lineRule="exact"/>
        <w:jc w:val="left"/>
        <w:rPr>
          <w:rFonts w:hint="default" w:ascii="方正仿宋_GBK" w:hAnsi="方正仿宋_GBK" w:eastAsia="方正黑体_GBK" w:cs="方正仿宋_GBK"/>
          <w:kern w:val="0"/>
          <w:sz w:val="28"/>
          <w:szCs w:val="28"/>
          <w:highlight w:val="none"/>
          <w:lang w:val="en-US" w:eastAsia="zh-CN" w:bidi="ar"/>
        </w:rPr>
      </w:pPr>
      <w:r>
        <w:rPr>
          <w:rFonts w:hint="eastAsia" w:ascii="方正黑体_GBK" w:hAnsi="方正黑体_GBK" w:eastAsia="方正黑体_GBK" w:cs="方正黑体_GBK"/>
          <w:kern w:val="0"/>
          <w:sz w:val="28"/>
          <w:szCs w:val="28"/>
          <w:highlight w:val="none"/>
          <w:lang w:bidi="ar"/>
        </w:rPr>
        <w:t>四、采购及评审方式：</w:t>
      </w:r>
      <w:r>
        <w:rPr>
          <w:rFonts w:hint="eastAsia" w:ascii="方正仿宋_GBK" w:hAnsi="方正仿宋_GBK" w:eastAsia="方正仿宋_GBK" w:cs="方正仿宋_GBK"/>
          <w:kern w:val="0"/>
          <w:sz w:val="28"/>
          <w:szCs w:val="28"/>
          <w:highlight w:val="none"/>
          <w:lang w:val="en-US" w:eastAsia="zh-CN" w:bidi="ar"/>
        </w:rPr>
        <w:t>医院公开招标</w:t>
      </w:r>
    </w:p>
    <w:p w14:paraId="3772981F">
      <w:pPr>
        <w:widowControl/>
        <w:spacing w:line="500" w:lineRule="exact"/>
        <w:jc w:val="left"/>
        <w:rPr>
          <w:rFonts w:ascii="方正黑体_GBK" w:hAnsi="方正黑体_GBK" w:eastAsia="方正黑体_GBK" w:cs="方正黑体_GBK"/>
          <w:kern w:val="0"/>
          <w:sz w:val="28"/>
          <w:szCs w:val="28"/>
          <w:highlight w:val="none"/>
          <w:lang w:bidi="ar"/>
        </w:rPr>
      </w:pPr>
      <w:r>
        <w:rPr>
          <w:rFonts w:hint="eastAsia" w:ascii="方正黑体_GBK" w:hAnsi="方正黑体_GBK" w:eastAsia="方正黑体_GBK" w:cs="方正黑体_GBK"/>
          <w:kern w:val="0"/>
          <w:sz w:val="28"/>
          <w:szCs w:val="28"/>
          <w:highlight w:val="none"/>
          <w:lang w:bidi="ar"/>
        </w:rPr>
        <w:t>五、资格条件：</w:t>
      </w:r>
    </w:p>
    <w:p w14:paraId="53C1CCF1">
      <w:pPr>
        <w:ind w:firstLine="420"/>
        <w:rPr>
          <w:rFonts w:hint="eastAsia" w:ascii="方正黑体_GBK" w:hAnsi="方正黑体_GBK" w:eastAsia="方正黑体_GBK" w:cs="方正黑体_GBK"/>
          <w:sz w:val="28"/>
          <w:szCs w:val="28"/>
          <w:highlight w:val="none"/>
        </w:rPr>
      </w:pPr>
      <w:r>
        <w:rPr>
          <w:rFonts w:hint="eastAsia" w:ascii="方正黑体_GBK" w:hAnsi="方正黑体_GBK" w:eastAsia="方正黑体_GBK" w:cs="方正黑体_GBK"/>
          <w:sz w:val="28"/>
          <w:szCs w:val="28"/>
          <w:highlight w:val="none"/>
        </w:rPr>
        <w:t>（一）基本要求：</w:t>
      </w:r>
    </w:p>
    <w:p w14:paraId="57403BD5">
      <w:pPr>
        <w:spacing w:line="500" w:lineRule="exact"/>
        <w:ind w:firstLine="560" w:firstLineChars="200"/>
        <w:rPr>
          <w:rFonts w:ascii="方正仿宋_GBK" w:hAnsi="方正仿宋_GBK" w:eastAsia="方正仿宋_GBK" w:cs="方正仿宋_GBK"/>
          <w:kern w:val="0"/>
          <w:sz w:val="28"/>
          <w:szCs w:val="28"/>
          <w:highlight w:val="none"/>
          <w:lang w:bidi="ar"/>
        </w:rPr>
      </w:pPr>
      <w:r>
        <w:rPr>
          <w:rFonts w:hint="eastAsia" w:ascii="方正仿宋_GBK" w:hAnsi="方正仿宋_GBK" w:eastAsia="方正仿宋_GBK" w:cs="方正仿宋_GBK"/>
          <w:kern w:val="0"/>
          <w:sz w:val="28"/>
          <w:szCs w:val="28"/>
          <w:highlight w:val="none"/>
          <w:lang w:val="en-US" w:eastAsia="zh-CN" w:bidi="ar"/>
        </w:rPr>
        <w:t>1.</w:t>
      </w:r>
      <w:r>
        <w:rPr>
          <w:rFonts w:hint="eastAsia" w:ascii="方正仿宋_GBK" w:hAnsi="方正仿宋_GBK" w:eastAsia="方正仿宋_GBK" w:cs="方正仿宋_GBK"/>
          <w:kern w:val="0"/>
          <w:sz w:val="28"/>
          <w:szCs w:val="28"/>
          <w:highlight w:val="none"/>
          <w:lang w:bidi="ar"/>
        </w:rPr>
        <w:t>具有独立承担民事责任的能力；</w:t>
      </w:r>
    </w:p>
    <w:p w14:paraId="171815EA">
      <w:pPr>
        <w:spacing w:line="500" w:lineRule="exact"/>
        <w:ind w:firstLine="560" w:firstLineChars="200"/>
        <w:rPr>
          <w:rFonts w:ascii="方正仿宋_GBK" w:hAnsi="方正仿宋_GBK" w:eastAsia="方正仿宋_GBK" w:cs="方正仿宋_GBK"/>
          <w:kern w:val="0"/>
          <w:sz w:val="28"/>
          <w:szCs w:val="28"/>
          <w:highlight w:val="none"/>
          <w:lang w:bidi="ar"/>
        </w:rPr>
      </w:pPr>
      <w:r>
        <w:rPr>
          <w:rFonts w:hint="eastAsia" w:ascii="方正仿宋_GBK" w:hAnsi="方正仿宋_GBK" w:eastAsia="方正仿宋_GBK" w:cs="方正仿宋_GBK"/>
          <w:kern w:val="0"/>
          <w:sz w:val="28"/>
          <w:szCs w:val="28"/>
          <w:highlight w:val="none"/>
          <w:lang w:val="en-US" w:eastAsia="zh-CN" w:bidi="ar"/>
        </w:rPr>
        <w:t>2.</w:t>
      </w:r>
      <w:r>
        <w:rPr>
          <w:rFonts w:hint="eastAsia" w:ascii="方正仿宋_GBK" w:hAnsi="方正仿宋_GBK" w:eastAsia="方正仿宋_GBK" w:cs="方正仿宋_GBK"/>
          <w:kern w:val="0"/>
          <w:sz w:val="28"/>
          <w:szCs w:val="28"/>
          <w:highlight w:val="none"/>
          <w:lang w:bidi="ar"/>
        </w:rPr>
        <w:t>具有良好的商业信誉和健全的财务会计制度；</w:t>
      </w:r>
    </w:p>
    <w:p w14:paraId="7193F45A">
      <w:pPr>
        <w:spacing w:line="500" w:lineRule="exact"/>
        <w:ind w:firstLine="560" w:firstLineChars="200"/>
        <w:rPr>
          <w:rFonts w:ascii="方正仿宋_GBK" w:hAnsi="方正仿宋_GBK" w:eastAsia="方正仿宋_GBK" w:cs="方正仿宋_GBK"/>
          <w:kern w:val="0"/>
          <w:sz w:val="28"/>
          <w:szCs w:val="28"/>
          <w:highlight w:val="none"/>
          <w:lang w:bidi="ar"/>
        </w:rPr>
      </w:pPr>
      <w:r>
        <w:rPr>
          <w:rFonts w:hint="eastAsia" w:ascii="方正仿宋_GBK" w:hAnsi="方正仿宋_GBK" w:eastAsia="方正仿宋_GBK" w:cs="方正仿宋_GBK"/>
          <w:kern w:val="0"/>
          <w:sz w:val="28"/>
          <w:szCs w:val="28"/>
          <w:highlight w:val="none"/>
          <w:lang w:val="en-US" w:eastAsia="zh-CN" w:bidi="ar"/>
        </w:rPr>
        <w:t>3.</w:t>
      </w:r>
      <w:r>
        <w:rPr>
          <w:rFonts w:hint="eastAsia" w:ascii="方正仿宋_GBK" w:hAnsi="方正仿宋_GBK" w:eastAsia="方正仿宋_GBK" w:cs="方正仿宋_GBK"/>
          <w:kern w:val="0"/>
          <w:sz w:val="28"/>
          <w:szCs w:val="28"/>
          <w:highlight w:val="none"/>
          <w:lang w:bidi="ar"/>
        </w:rPr>
        <w:t>具有履行合同所必须的设备和专业技术能力；</w:t>
      </w:r>
    </w:p>
    <w:p w14:paraId="2C5C628E">
      <w:pPr>
        <w:spacing w:line="500" w:lineRule="exact"/>
        <w:ind w:firstLine="560" w:firstLineChars="200"/>
        <w:rPr>
          <w:rFonts w:ascii="方正仿宋_GBK" w:hAnsi="方正仿宋_GBK" w:eastAsia="方正仿宋_GBK" w:cs="方正仿宋_GBK"/>
          <w:kern w:val="0"/>
          <w:sz w:val="28"/>
          <w:szCs w:val="28"/>
          <w:highlight w:val="none"/>
          <w:lang w:bidi="ar"/>
        </w:rPr>
      </w:pPr>
      <w:r>
        <w:rPr>
          <w:rFonts w:hint="eastAsia" w:ascii="方正仿宋_GBK" w:hAnsi="方正仿宋_GBK" w:eastAsia="方正仿宋_GBK" w:cs="方正仿宋_GBK"/>
          <w:kern w:val="0"/>
          <w:sz w:val="28"/>
          <w:szCs w:val="28"/>
          <w:highlight w:val="none"/>
          <w:lang w:val="en-US" w:eastAsia="zh-CN" w:bidi="ar"/>
        </w:rPr>
        <w:t>4.</w:t>
      </w:r>
      <w:r>
        <w:rPr>
          <w:rFonts w:hint="eastAsia" w:ascii="方正仿宋_GBK" w:hAnsi="方正仿宋_GBK" w:eastAsia="方正仿宋_GBK" w:cs="方正仿宋_GBK"/>
          <w:kern w:val="0"/>
          <w:sz w:val="28"/>
          <w:szCs w:val="28"/>
          <w:highlight w:val="none"/>
          <w:lang w:bidi="ar"/>
        </w:rPr>
        <w:t>有依法缴纳税收和社会保障资金的良好记录；</w:t>
      </w:r>
    </w:p>
    <w:p w14:paraId="677836F6">
      <w:pPr>
        <w:spacing w:line="500" w:lineRule="exact"/>
        <w:ind w:firstLine="560" w:firstLineChars="200"/>
        <w:rPr>
          <w:rFonts w:ascii="方正仿宋_GBK" w:hAnsi="方正仿宋_GBK" w:eastAsia="方正仿宋_GBK" w:cs="方正仿宋_GBK"/>
          <w:kern w:val="0"/>
          <w:sz w:val="28"/>
          <w:szCs w:val="28"/>
          <w:highlight w:val="none"/>
          <w:lang w:bidi="ar"/>
        </w:rPr>
      </w:pPr>
      <w:r>
        <w:rPr>
          <w:rFonts w:hint="eastAsia" w:ascii="方正仿宋_GBK" w:hAnsi="方正仿宋_GBK" w:eastAsia="方正仿宋_GBK" w:cs="方正仿宋_GBK"/>
          <w:kern w:val="0"/>
          <w:sz w:val="28"/>
          <w:szCs w:val="28"/>
          <w:highlight w:val="none"/>
          <w:lang w:val="en-US" w:eastAsia="zh-CN" w:bidi="ar"/>
        </w:rPr>
        <w:t>5.</w:t>
      </w:r>
      <w:r>
        <w:rPr>
          <w:rFonts w:hint="eastAsia" w:ascii="方正仿宋_GBK" w:hAnsi="方正仿宋_GBK" w:eastAsia="方正仿宋_GBK" w:cs="方正仿宋_GBK"/>
          <w:kern w:val="0"/>
          <w:sz w:val="28"/>
          <w:szCs w:val="28"/>
          <w:highlight w:val="none"/>
          <w:lang w:bidi="ar"/>
        </w:rPr>
        <w:t>参加政府采购活动近三年内，在经营活动中没有重大违纪记录；</w:t>
      </w:r>
    </w:p>
    <w:p w14:paraId="1EE4518E">
      <w:pPr>
        <w:spacing w:line="500" w:lineRule="exact"/>
        <w:ind w:firstLine="560" w:firstLineChars="200"/>
        <w:rPr>
          <w:highlight w:val="none"/>
        </w:rPr>
      </w:pPr>
      <w:r>
        <w:rPr>
          <w:rFonts w:hint="eastAsia" w:ascii="方正仿宋_GBK" w:hAnsi="方正仿宋_GBK" w:eastAsia="方正仿宋_GBK" w:cs="方正仿宋_GBK"/>
          <w:kern w:val="0"/>
          <w:sz w:val="28"/>
          <w:szCs w:val="28"/>
          <w:highlight w:val="none"/>
          <w:lang w:val="en-US" w:eastAsia="zh-CN" w:bidi="ar"/>
        </w:rPr>
        <w:t>6.</w:t>
      </w:r>
      <w:r>
        <w:rPr>
          <w:rFonts w:hint="eastAsia" w:ascii="方正仿宋_GBK" w:hAnsi="方正仿宋_GBK" w:eastAsia="方正仿宋_GBK" w:cs="方正仿宋_GBK"/>
          <w:kern w:val="0"/>
          <w:sz w:val="28"/>
          <w:szCs w:val="28"/>
          <w:highlight w:val="none"/>
          <w:lang w:bidi="ar"/>
        </w:rPr>
        <w:t>其他特殊资格条件。</w:t>
      </w:r>
    </w:p>
    <w:p w14:paraId="19F70886">
      <w:pPr>
        <w:ind w:firstLine="420"/>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eastAsia="zh-CN"/>
        </w:rPr>
        <w:t>（</w:t>
      </w:r>
      <w:r>
        <w:rPr>
          <w:rFonts w:hint="eastAsia" w:ascii="方正黑体_GBK" w:hAnsi="方正黑体_GBK" w:eastAsia="方正黑体_GBK" w:cs="方正黑体_GBK"/>
          <w:sz w:val="28"/>
          <w:szCs w:val="28"/>
          <w:highlight w:val="none"/>
          <w:lang w:val="en-US" w:eastAsia="zh-CN"/>
        </w:rPr>
        <w:t>二</w:t>
      </w:r>
      <w:r>
        <w:rPr>
          <w:rFonts w:hint="eastAsia" w:ascii="方正黑体_GBK" w:hAnsi="方正黑体_GBK" w:eastAsia="方正黑体_GBK" w:cs="方正黑体_GBK"/>
          <w:sz w:val="28"/>
          <w:szCs w:val="28"/>
          <w:highlight w:val="none"/>
          <w:lang w:eastAsia="zh-CN"/>
        </w:rPr>
        <w:t>）</w:t>
      </w:r>
      <w:r>
        <w:rPr>
          <w:rFonts w:hint="eastAsia" w:ascii="方正黑体_GBK" w:hAnsi="方正黑体_GBK" w:eastAsia="方正黑体_GBK" w:cs="方正黑体_GBK"/>
          <w:sz w:val="28"/>
          <w:szCs w:val="28"/>
          <w:highlight w:val="none"/>
          <w:lang w:val="en-US" w:eastAsia="zh-CN"/>
        </w:rPr>
        <w:t>资格条件：</w:t>
      </w:r>
    </w:p>
    <w:p w14:paraId="68693971">
      <w:pPr>
        <w:spacing w:line="500" w:lineRule="exact"/>
        <w:ind w:firstLine="560" w:firstLineChars="200"/>
        <w:rPr>
          <w:rFonts w:hint="eastAsia" w:ascii="方正仿宋_GBK" w:hAnsi="方正仿宋_GBK" w:eastAsia="方正仿宋_GBK" w:cs="方正仿宋_GBK"/>
          <w:kern w:val="0"/>
          <w:sz w:val="28"/>
          <w:szCs w:val="28"/>
          <w:highlight w:val="none"/>
          <w:lang w:val="en-US" w:eastAsia="zh-CN" w:bidi="ar"/>
        </w:rPr>
      </w:pPr>
      <w:r>
        <w:rPr>
          <w:rFonts w:hint="eastAsia" w:ascii="方正仿宋_GBK" w:hAnsi="方正仿宋_GBK" w:eastAsia="方正仿宋_GBK" w:cs="方正仿宋_GBK"/>
          <w:kern w:val="0"/>
          <w:sz w:val="28"/>
          <w:szCs w:val="28"/>
          <w:highlight w:val="none"/>
          <w:lang w:val="en-US" w:eastAsia="zh-CN" w:bidi="ar"/>
        </w:rPr>
        <w:t>1.满足《中华人民共和国政府采购法》第二十二条规定。</w:t>
      </w:r>
    </w:p>
    <w:p w14:paraId="74F37460">
      <w:pPr>
        <w:spacing w:line="500" w:lineRule="exact"/>
        <w:ind w:firstLine="560" w:firstLineChars="200"/>
        <w:rPr>
          <w:rFonts w:hint="eastAsia" w:ascii="方正仿宋_GBK" w:hAnsi="方正仿宋_GBK" w:eastAsia="方正仿宋_GBK" w:cs="方正仿宋_GBK"/>
          <w:kern w:val="0"/>
          <w:sz w:val="28"/>
          <w:szCs w:val="28"/>
          <w:highlight w:val="none"/>
          <w:lang w:val="en-US" w:eastAsia="zh-CN" w:bidi="ar"/>
        </w:rPr>
      </w:pPr>
      <w:r>
        <w:rPr>
          <w:rFonts w:hint="eastAsia" w:ascii="方正仿宋_GBK" w:hAnsi="方正仿宋_GBK" w:eastAsia="方正仿宋_GBK" w:cs="方正仿宋_GBK"/>
          <w:kern w:val="0"/>
          <w:sz w:val="28"/>
          <w:szCs w:val="28"/>
          <w:highlight w:val="none"/>
          <w:lang w:val="en-US" w:eastAsia="zh-CN" w:bidi="ar"/>
        </w:rPr>
        <w:t>2.落实政府采购政策需满足的资格要求：无</w:t>
      </w:r>
    </w:p>
    <w:p w14:paraId="396D8C63">
      <w:pPr>
        <w:spacing w:line="500" w:lineRule="exact"/>
        <w:ind w:firstLine="560" w:firstLineChars="200"/>
        <w:rPr>
          <w:rFonts w:hint="eastAsia"/>
          <w:highlight w:val="none"/>
          <w:lang w:bidi="ar"/>
        </w:rPr>
      </w:pPr>
      <w:r>
        <w:rPr>
          <w:rFonts w:hint="eastAsia" w:ascii="方正仿宋_GBK" w:hAnsi="方正仿宋_GBK" w:eastAsia="方正仿宋_GBK" w:cs="方正仿宋_GBK"/>
          <w:kern w:val="0"/>
          <w:sz w:val="28"/>
          <w:szCs w:val="28"/>
          <w:highlight w:val="none"/>
          <w:lang w:val="en-US" w:eastAsia="zh-CN" w:bidi="ar"/>
        </w:rPr>
        <w:t>3.本项目的特定资格要求：无</w:t>
      </w:r>
    </w:p>
    <w:p w14:paraId="175C9ED4">
      <w:pPr>
        <w:widowControl/>
        <w:spacing w:line="500" w:lineRule="exact"/>
        <w:jc w:val="left"/>
        <w:rPr>
          <w:rFonts w:ascii="方正黑体_GBK" w:hAnsi="方正黑体_GBK" w:eastAsia="方正黑体_GBK" w:cs="方正黑体_GBK"/>
          <w:kern w:val="0"/>
          <w:sz w:val="28"/>
          <w:szCs w:val="28"/>
          <w:highlight w:val="none"/>
          <w:lang w:bidi="ar"/>
        </w:rPr>
      </w:pPr>
      <w:r>
        <w:rPr>
          <w:rFonts w:hint="eastAsia" w:ascii="方正黑体_GBK" w:hAnsi="方正黑体_GBK" w:eastAsia="方正黑体_GBK" w:cs="方正黑体_GBK"/>
          <w:kern w:val="0"/>
          <w:sz w:val="28"/>
          <w:szCs w:val="28"/>
          <w:highlight w:val="none"/>
          <w:lang w:bidi="ar"/>
        </w:rPr>
        <w:t>六、服务（技术）要求</w:t>
      </w:r>
    </w:p>
    <w:p w14:paraId="4DCF0501">
      <w:pPr>
        <w:widowControl/>
        <w:spacing w:line="500" w:lineRule="exact"/>
        <w:jc w:val="left"/>
        <w:rPr>
          <w:rFonts w:hint="eastAsia" w:ascii="方正仿宋_GBK" w:hAnsi="方正仿宋_GBK" w:eastAsia="方正仿宋_GBK" w:cs="方正仿宋_GBK"/>
          <w:b/>
          <w:bCs/>
          <w:kern w:val="0"/>
          <w:sz w:val="30"/>
          <w:szCs w:val="30"/>
          <w:highlight w:val="none"/>
          <w:lang w:bidi="ar"/>
        </w:rPr>
      </w:pPr>
      <w:r>
        <w:rPr>
          <w:rFonts w:hint="eastAsia" w:ascii="方正仿宋_GBK" w:hAnsi="方正仿宋_GBK" w:eastAsia="方正仿宋_GBK" w:cs="方正仿宋_GBK"/>
          <w:b/>
          <w:bCs/>
          <w:kern w:val="0"/>
          <w:sz w:val="30"/>
          <w:szCs w:val="30"/>
          <w:highlight w:val="none"/>
          <w:lang w:bidi="ar"/>
        </w:rPr>
        <w:t>（一）项目概况</w:t>
      </w:r>
    </w:p>
    <w:p w14:paraId="5C27B4AA">
      <w:pPr>
        <w:spacing w:line="500" w:lineRule="exact"/>
        <w:ind w:firstLine="560" w:firstLineChars="200"/>
        <w:rPr>
          <w:rFonts w:hint="eastAsia" w:ascii="方正仿宋_GBK" w:hAnsi="方正仿宋_GBK" w:eastAsia="方正仿宋_GBK" w:cs="方正仿宋_GBK"/>
          <w:kern w:val="0"/>
          <w:sz w:val="28"/>
          <w:szCs w:val="28"/>
          <w:highlight w:val="none"/>
          <w:lang w:val="en-US" w:eastAsia="zh-CN" w:bidi="ar"/>
        </w:rPr>
      </w:pPr>
      <w:r>
        <w:rPr>
          <w:rFonts w:hint="eastAsia" w:ascii="方正仿宋_GBK" w:hAnsi="方正仿宋_GBK" w:eastAsia="方正仿宋_GBK" w:cs="方正仿宋_GBK"/>
          <w:kern w:val="0"/>
          <w:sz w:val="28"/>
          <w:szCs w:val="28"/>
          <w:highlight w:val="none"/>
          <w:lang w:val="en-US" w:eastAsia="zh-CN" w:bidi="ar"/>
        </w:rPr>
        <w:t>重庆医科大学附属康复医院（重庆市康复医院）是重庆唯一一家非营利性三级康复医院，规划床位800张，为集预防、康复、治疗、科研、教学为一体的大型教学医院。现有三个院区，分别位于重庆市九龙坡区、大渡口区和石柱土家族自治县黄水镇。近年来，随着国家医疗体制改革的不断深化，国家及地方卫生行政管理部门相继出台了一系列加强合理用药管理，转变医院药学服务模式的政策，对医院在</w:t>
      </w:r>
    </w:p>
    <w:p w14:paraId="63B4B734">
      <w:pPr>
        <w:spacing w:line="500" w:lineRule="exact"/>
        <w:rPr>
          <w:rFonts w:hint="eastAsia" w:ascii="方正仿宋_GBK" w:hAnsi="方正仿宋_GBK" w:eastAsia="方正仿宋_GBK" w:cs="方正仿宋_GBK"/>
          <w:kern w:val="0"/>
          <w:sz w:val="28"/>
          <w:szCs w:val="28"/>
          <w:highlight w:val="none"/>
          <w:lang w:val="en-US" w:eastAsia="zh-CN" w:bidi="ar"/>
        </w:rPr>
      </w:pPr>
      <w:r>
        <w:rPr>
          <w:rFonts w:hint="eastAsia" w:ascii="方正仿宋_GBK" w:hAnsi="方正仿宋_GBK" w:eastAsia="方正仿宋_GBK" w:cs="方正仿宋_GBK"/>
          <w:kern w:val="0"/>
          <w:sz w:val="28"/>
          <w:szCs w:val="28"/>
          <w:highlight w:val="none"/>
          <w:lang w:val="en-US" w:eastAsia="zh-CN" w:bidi="ar"/>
        </w:rPr>
        <w:t>处方审核、用药管理等方面都提出了更高的要求，同时也鼓励医疗机构积极探索医院药学的新模式，拓展药学服务范围，丰富服务内涵。另一方面，随着临床药学服务工作的探索推进，对于普通临床药师的要求也越来越高，需要其参与临床实践，掌握各种药学信息，并善于同各服务对象进行沟通，这对于药师的知识水平、能力水平都提出更进一步的要求。</w:t>
      </w:r>
    </w:p>
    <w:p w14:paraId="72C8ADCF">
      <w:pPr>
        <w:pStyle w:val="15"/>
        <w:rPr>
          <w:rFonts w:hint="default" w:ascii="方正仿宋_GBK" w:hAnsi="方正仿宋_GBK" w:eastAsia="方正仿宋_GBK" w:cs="方正仿宋_GBK"/>
          <w:b w:val="0"/>
          <w:bCs w:val="0"/>
          <w:iCs w:val="0"/>
          <w:kern w:val="0"/>
          <w:sz w:val="28"/>
          <w:szCs w:val="28"/>
          <w:highlight w:val="none"/>
          <w:lang w:val="en-US" w:eastAsia="zh-CN" w:bidi="ar"/>
        </w:rPr>
      </w:pPr>
      <w:r>
        <w:rPr>
          <w:rFonts w:hint="eastAsia" w:ascii="方正仿宋_GBK" w:hAnsi="方正仿宋_GBK" w:eastAsia="方正仿宋_GBK" w:cs="方正仿宋_GBK"/>
          <w:kern w:val="0"/>
          <w:sz w:val="28"/>
          <w:szCs w:val="28"/>
          <w:highlight w:val="none"/>
          <w:lang w:val="en-US" w:eastAsia="zh-CN" w:bidi="ar"/>
        </w:rPr>
        <w:t xml:space="preserve">   </w:t>
      </w:r>
      <w:r>
        <w:rPr>
          <w:rFonts w:hint="eastAsia" w:ascii="方正仿宋_GBK" w:hAnsi="方正仿宋_GBK" w:eastAsia="方正仿宋_GBK" w:cs="方正仿宋_GBK"/>
          <w:b w:val="0"/>
          <w:bCs w:val="0"/>
          <w:iCs w:val="0"/>
          <w:kern w:val="0"/>
          <w:sz w:val="28"/>
          <w:szCs w:val="28"/>
          <w:highlight w:val="none"/>
          <w:lang w:val="en-US" w:eastAsia="zh-CN" w:bidi="ar"/>
        </w:rPr>
        <w:t xml:space="preserve"> 根据《医疗机构处方审核规范》、《关于加快药学服务高质量发展的意见》《关于加强医疗机构药事管理促进合理用药的意见》、国家三级公立医院绩效考核等相关政策的要求可以看出，随着人民群众合理用药需求的不断增加以及医药卫生体制改革的逐步深化医院药学的发展方向已经越来越明确，即结合患者需求和临床治疗特点，开展覆盖疾病治疗全过程的药学服务，保障患者用药安全，提高药物治疗的安全性、有效性和经济性。</w:t>
      </w:r>
    </w:p>
    <w:p w14:paraId="0CCD20CC">
      <w:pPr>
        <w:widowControl/>
        <w:spacing w:line="500" w:lineRule="exact"/>
        <w:jc w:val="left"/>
        <w:rPr>
          <w:rFonts w:hint="eastAsia" w:ascii="方正仿宋_GBK" w:hAnsi="方正仿宋_GBK" w:eastAsia="方正仿宋_GBK" w:cs="方正仿宋_GBK"/>
          <w:b/>
          <w:bCs/>
          <w:kern w:val="0"/>
          <w:sz w:val="30"/>
          <w:szCs w:val="30"/>
          <w:highlight w:val="none"/>
          <w:lang w:val="en-US" w:eastAsia="zh-CN" w:bidi="ar"/>
        </w:rPr>
      </w:pPr>
      <w:r>
        <w:rPr>
          <w:rFonts w:hint="eastAsia" w:ascii="方正仿宋_GBK" w:hAnsi="方正仿宋_GBK" w:eastAsia="方正仿宋_GBK" w:cs="方正仿宋_GBK"/>
          <w:b/>
          <w:bCs/>
          <w:kern w:val="0"/>
          <w:sz w:val="30"/>
          <w:szCs w:val="30"/>
          <w:highlight w:val="none"/>
          <w:lang w:val="en-US" w:eastAsia="zh-CN" w:bidi="ar"/>
        </w:rPr>
        <w:t>（二）项目系统建设清单</w:t>
      </w:r>
    </w:p>
    <w:tbl>
      <w:tblPr>
        <w:tblStyle w:val="18"/>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1360"/>
        <w:gridCol w:w="1870"/>
        <w:gridCol w:w="4344"/>
      </w:tblGrid>
      <w:tr w14:paraId="18172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72" w:type="pct"/>
            <w:noWrap w:val="0"/>
            <w:vAlign w:val="center"/>
          </w:tcPr>
          <w:p w14:paraId="487F2A01">
            <w:pPr>
              <w:widowControl/>
              <w:spacing w:line="240" w:lineRule="auto"/>
              <w:ind w:firstLine="0" w:firstLineChars="0"/>
              <w:jc w:val="both"/>
              <w:rPr>
                <w:rFonts w:hint="eastAsia" w:ascii="方正仿宋_GBK" w:hAnsi="方正仿宋_GBK" w:eastAsia="方正仿宋_GBK" w:cs="方正仿宋_GBK"/>
                <w:b/>
                <w:bCs/>
                <w:color w:val="000000"/>
                <w:kern w:val="0"/>
                <w:sz w:val="24"/>
                <w:szCs w:val="24"/>
                <w:highlight w:val="none"/>
              </w:rPr>
            </w:pPr>
            <w:r>
              <w:rPr>
                <w:rFonts w:hint="eastAsia" w:ascii="方正仿宋_GBK" w:hAnsi="方正仿宋_GBK" w:eastAsia="方正仿宋_GBK" w:cs="方正仿宋_GBK"/>
                <w:b/>
                <w:bCs/>
                <w:color w:val="000000"/>
                <w:kern w:val="0"/>
                <w:sz w:val="24"/>
                <w:szCs w:val="24"/>
                <w:highlight w:val="none"/>
              </w:rPr>
              <w:t>序号</w:t>
            </w:r>
          </w:p>
        </w:tc>
        <w:tc>
          <w:tcPr>
            <w:tcW w:w="795" w:type="pct"/>
            <w:noWrap/>
            <w:vAlign w:val="center"/>
          </w:tcPr>
          <w:p w14:paraId="2FA9593C">
            <w:pPr>
              <w:widowControl/>
              <w:spacing w:line="240" w:lineRule="auto"/>
              <w:ind w:firstLine="0" w:firstLineChars="0"/>
              <w:jc w:val="center"/>
              <w:rPr>
                <w:rFonts w:hint="eastAsia" w:ascii="方正仿宋_GBK" w:hAnsi="方正仿宋_GBK" w:eastAsia="方正仿宋_GBK" w:cs="方正仿宋_GBK"/>
                <w:b/>
                <w:bCs/>
                <w:color w:val="000000"/>
                <w:kern w:val="0"/>
                <w:sz w:val="24"/>
                <w:szCs w:val="24"/>
                <w:highlight w:val="none"/>
                <w:lang w:val="en-US" w:eastAsia="zh-CN"/>
              </w:rPr>
            </w:pPr>
            <w:r>
              <w:rPr>
                <w:rFonts w:hint="eastAsia" w:ascii="方正仿宋_GBK" w:hAnsi="方正仿宋_GBK" w:eastAsia="方正仿宋_GBK" w:cs="方正仿宋_GBK"/>
                <w:b/>
                <w:bCs/>
                <w:color w:val="000000"/>
                <w:kern w:val="0"/>
                <w:sz w:val="24"/>
                <w:szCs w:val="24"/>
                <w:highlight w:val="none"/>
                <w:lang w:val="en-US" w:eastAsia="zh-CN"/>
              </w:rPr>
              <w:t>类目</w:t>
            </w:r>
          </w:p>
        </w:tc>
        <w:tc>
          <w:tcPr>
            <w:tcW w:w="1093" w:type="pct"/>
            <w:noWrap/>
            <w:vAlign w:val="center"/>
          </w:tcPr>
          <w:p w14:paraId="018D4606">
            <w:pPr>
              <w:widowControl/>
              <w:spacing w:line="240" w:lineRule="auto"/>
              <w:ind w:firstLine="0" w:firstLineChars="0"/>
              <w:jc w:val="center"/>
              <w:rPr>
                <w:rFonts w:hint="eastAsia" w:ascii="方正仿宋_GBK" w:hAnsi="方正仿宋_GBK" w:eastAsia="方正仿宋_GBK" w:cs="方正仿宋_GBK"/>
                <w:b/>
                <w:bCs/>
                <w:color w:val="000000"/>
                <w:kern w:val="0"/>
                <w:sz w:val="24"/>
                <w:szCs w:val="24"/>
                <w:highlight w:val="none"/>
              </w:rPr>
            </w:pPr>
            <w:r>
              <w:rPr>
                <w:rFonts w:hint="eastAsia" w:ascii="方正仿宋_GBK" w:hAnsi="方正仿宋_GBK" w:eastAsia="方正仿宋_GBK" w:cs="方正仿宋_GBK"/>
                <w:b/>
                <w:bCs/>
                <w:color w:val="000000"/>
                <w:kern w:val="0"/>
                <w:sz w:val="24"/>
                <w:szCs w:val="24"/>
                <w:highlight w:val="none"/>
              </w:rPr>
              <w:t>系统名称</w:t>
            </w:r>
          </w:p>
        </w:tc>
        <w:tc>
          <w:tcPr>
            <w:tcW w:w="2538" w:type="pct"/>
            <w:noWrap/>
            <w:vAlign w:val="center"/>
          </w:tcPr>
          <w:p w14:paraId="71D1A6E0">
            <w:pPr>
              <w:widowControl/>
              <w:spacing w:line="240" w:lineRule="auto"/>
              <w:ind w:firstLine="0" w:firstLineChars="0"/>
              <w:jc w:val="center"/>
              <w:rPr>
                <w:rFonts w:hint="default" w:ascii="方正仿宋_GBK" w:hAnsi="方正仿宋_GBK" w:eastAsia="方正仿宋_GBK" w:cs="方正仿宋_GBK"/>
                <w:b/>
                <w:bCs/>
                <w:color w:val="000000"/>
                <w:kern w:val="0"/>
                <w:sz w:val="24"/>
                <w:szCs w:val="24"/>
                <w:highlight w:val="none"/>
                <w:lang w:val="en-US" w:eastAsia="zh-CN"/>
              </w:rPr>
            </w:pPr>
            <w:r>
              <w:rPr>
                <w:rFonts w:hint="eastAsia" w:ascii="方正仿宋_GBK" w:hAnsi="方正仿宋_GBK" w:eastAsia="方正仿宋_GBK" w:cs="方正仿宋_GBK"/>
                <w:b/>
                <w:bCs/>
                <w:color w:val="000000"/>
                <w:kern w:val="0"/>
                <w:sz w:val="24"/>
                <w:szCs w:val="24"/>
                <w:highlight w:val="none"/>
                <w:lang w:val="en-US" w:eastAsia="zh-CN"/>
              </w:rPr>
              <w:t>建设内容</w:t>
            </w:r>
          </w:p>
        </w:tc>
      </w:tr>
      <w:tr w14:paraId="3AE0C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572" w:type="pct"/>
            <w:noWrap w:val="0"/>
            <w:vAlign w:val="center"/>
          </w:tcPr>
          <w:p w14:paraId="3C8ADFCB">
            <w:pPr>
              <w:widowControl/>
              <w:spacing w:line="240" w:lineRule="auto"/>
              <w:ind w:firstLine="0" w:firstLineChars="0"/>
              <w:jc w:val="center"/>
              <w:rPr>
                <w:rFonts w:hint="eastAsia" w:ascii="方正仿宋_GBK" w:hAnsi="方正仿宋_GBK" w:eastAsia="方正仿宋_GBK" w:cs="方正仿宋_GBK"/>
                <w:color w:val="000000"/>
                <w:kern w:val="0"/>
                <w:sz w:val="24"/>
                <w:szCs w:val="24"/>
                <w:highlight w:val="none"/>
                <w:lang w:eastAsia="zh-CN"/>
              </w:rPr>
            </w:pPr>
            <w:r>
              <w:rPr>
                <w:rFonts w:hint="eastAsia" w:ascii="方正仿宋_GBK" w:hAnsi="方正仿宋_GBK" w:eastAsia="方正仿宋_GBK" w:cs="方正仿宋_GBK"/>
                <w:color w:val="000000"/>
                <w:kern w:val="0"/>
                <w:sz w:val="24"/>
                <w:szCs w:val="24"/>
                <w:highlight w:val="none"/>
                <w:lang w:val="en-US" w:eastAsia="zh-CN"/>
              </w:rPr>
              <w:t>1</w:t>
            </w:r>
          </w:p>
        </w:tc>
        <w:tc>
          <w:tcPr>
            <w:tcW w:w="795" w:type="pct"/>
            <w:vMerge w:val="restart"/>
            <w:noWrap w:val="0"/>
            <w:vAlign w:val="center"/>
          </w:tcPr>
          <w:p w14:paraId="2A49CC26">
            <w:pPr>
              <w:widowControl/>
              <w:spacing w:line="240" w:lineRule="auto"/>
              <w:ind w:firstLine="0" w:firstLineChars="0"/>
              <w:jc w:val="center"/>
              <w:rPr>
                <w:rFonts w:hint="eastAsia" w:ascii="方正仿宋_GBK" w:hAnsi="方正仿宋_GBK" w:eastAsia="方正仿宋_GBK" w:cs="方正仿宋_GBK"/>
                <w:color w:val="000000"/>
                <w:kern w:val="0"/>
                <w:sz w:val="24"/>
                <w:szCs w:val="24"/>
                <w:highlight w:val="none"/>
                <w:lang w:val="en-US" w:eastAsia="zh-CN"/>
              </w:rPr>
            </w:pPr>
          </w:p>
          <w:p w14:paraId="0FA65B50">
            <w:pPr>
              <w:widowControl/>
              <w:spacing w:line="240" w:lineRule="auto"/>
              <w:ind w:firstLine="0" w:firstLineChars="0"/>
              <w:jc w:val="center"/>
              <w:rPr>
                <w:rFonts w:hint="eastAsia" w:ascii="方正仿宋_GBK" w:hAnsi="方正仿宋_GBK" w:eastAsia="方正仿宋_GBK" w:cs="方正仿宋_GBK"/>
                <w:color w:val="000000"/>
                <w:kern w:val="0"/>
                <w:sz w:val="24"/>
                <w:szCs w:val="24"/>
                <w:highlight w:val="none"/>
                <w:lang w:val="en-US" w:eastAsia="zh-CN"/>
              </w:rPr>
            </w:pPr>
          </w:p>
          <w:p w14:paraId="56CE70EC">
            <w:pPr>
              <w:widowControl/>
              <w:spacing w:line="240" w:lineRule="auto"/>
              <w:ind w:firstLine="0" w:firstLineChars="0"/>
              <w:jc w:val="center"/>
              <w:rPr>
                <w:rFonts w:hint="eastAsia" w:ascii="方正仿宋_GBK" w:hAnsi="方正仿宋_GBK" w:eastAsia="方正仿宋_GBK" w:cs="方正仿宋_GBK"/>
                <w:color w:val="000000"/>
                <w:kern w:val="0"/>
                <w:sz w:val="24"/>
                <w:szCs w:val="24"/>
                <w:highlight w:val="none"/>
                <w:lang w:val="en-US" w:eastAsia="zh-CN"/>
              </w:rPr>
            </w:pPr>
          </w:p>
          <w:p w14:paraId="33F05153">
            <w:pPr>
              <w:widowControl/>
              <w:spacing w:line="240" w:lineRule="auto"/>
              <w:ind w:firstLine="0" w:firstLineChars="0"/>
              <w:jc w:val="center"/>
              <w:rPr>
                <w:rFonts w:hint="eastAsia" w:ascii="方正仿宋_GBK" w:hAnsi="方正仿宋_GBK" w:eastAsia="方正仿宋_GBK" w:cs="方正仿宋_GBK"/>
                <w:color w:val="000000"/>
                <w:kern w:val="0"/>
                <w:sz w:val="24"/>
                <w:szCs w:val="24"/>
                <w:highlight w:val="none"/>
                <w:lang w:val="en-US" w:eastAsia="zh-CN"/>
              </w:rPr>
            </w:pPr>
          </w:p>
          <w:p w14:paraId="01A73146">
            <w:pPr>
              <w:widowControl/>
              <w:spacing w:line="240" w:lineRule="auto"/>
              <w:ind w:firstLine="0" w:firstLineChars="0"/>
              <w:jc w:val="center"/>
              <w:rPr>
                <w:rFonts w:hint="eastAsia" w:ascii="方正仿宋_GBK" w:hAnsi="方正仿宋_GBK" w:eastAsia="方正仿宋_GBK" w:cs="方正仿宋_GBK"/>
                <w:color w:val="000000"/>
                <w:kern w:val="0"/>
                <w:sz w:val="24"/>
                <w:szCs w:val="24"/>
                <w:highlight w:val="none"/>
                <w:lang w:val="en-US" w:eastAsia="zh-CN"/>
              </w:rPr>
            </w:pPr>
          </w:p>
          <w:p w14:paraId="7D58D494">
            <w:pPr>
              <w:widowControl/>
              <w:spacing w:line="240" w:lineRule="auto"/>
              <w:ind w:firstLine="0" w:firstLineChars="0"/>
              <w:jc w:val="center"/>
              <w:rPr>
                <w:rFonts w:hint="eastAsia" w:ascii="方正仿宋_GBK" w:hAnsi="方正仿宋_GBK" w:eastAsia="方正仿宋_GBK" w:cs="方正仿宋_GBK"/>
                <w:color w:val="000000"/>
                <w:kern w:val="0"/>
                <w:sz w:val="24"/>
                <w:szCs w:val="24"/>
                <w:highlight w:val="none"/>
                <w:lang w:val="en-US" w:eastAsia="zh-CN"/>
              </w:rPr>
            </w:pPr>
          </w:p>
          <w:p w14:paraId="3768F24D">
            <w:pPr>
              <w:widowControl/>
              <w:spacing w:line="240" w:lineRule="auto"/>
              <w:ind w:firstLine="0" w:firstLineChars="0"/>
              <w:jc w:val="both"/>
              <w:rPr>
                <w:rFonts w:hint="eastAsia" w:ascii="方正仿宋_GBK" w:hAnsi="方正仿宋_GBK" w:eastAsia="方正仿宋_GBK" w:cs="方正仿宋_GBK"/>
                <w:color w:val="000000"/>
                <w:kern w:val="0"/>
                <w:sz w:val="24"/>
                <w:szCs w:val="24"/>
                <w:highlight w:val="none"/>
                <w:lang w:val="en-US" w:eastAsia="zh-CN"/>
              </w:rPr>
            </w:pPr>
            <w:r>
              <w:rPr>
                <w:rFonts w:hint="eastAsia" w:ascii="方正仿宋_GBK" w:hAnsi="方正仿宋_GBK" w:eastAsia="方正仿宋_GBK" w:cs="方正仿宋_GBK"/>
                <w:color w:val="000000"/>
                <w:kern w:val="0"/>
                <w:sz w:val="24"/>
                <w:szCs w:val="24"/>
                <w:highlight w:val="none"/>
                <w:lang w:val="en-US" w:eastAsia="zh-CN"/>
              </w:rPr>
              <w:t>合理用药系统</w:t>
            </w:r>
          </w:p>
        </w:tc>
        <w:tc>
          <w:tcPr>
            <w:tcW w:w="1093" w:type="pct"/>
            <w:noWrap w:val="0"/>
            <w:vAlign w:val="center"/>
          </w:tcPr>
          <w:p w14:paraId="0F9B29A5">
            <w:pPr>
              <w:widowControl/>
              <w:spacing w:line="240" w:lineRule="auto"/>
              <w:ind w:firstLine="0" w:firstLineChars="0"/>
              <w:jc w:val="left"/>
              <w:rPr>
                <w:rFonts w:hint="eastAsia" w:ascii="方正仿宋_GBK" w:hAnsi="方正仿宋_GBK" w:eastAsia="方正仿宋_GBK" w:cs="方正仿宋_GBK"/>
                <w:color w:val="000000"/>
                <w:kern w:val="0"/>
                <w:sz w:val="24"/>
                <w:szCs w:val="24"/>
                <w:highlight w:val="none"/>
              </w:rPr>
            </w:pPr>
            <w:r>
              <w:rPr>
                <w:rFonts w:hint="eastAsia"/>
                <w:color w:val="555555"/>
                <w:sz w:val="21"/>
                <w:szCs w:val="21"/>
                <w:highlight w:val="none"/>
                <w:lang w:eastAsia="zh-CN"/>
              </w:rPr>
              <w:t>系统审方</w:t>
            </w:r>
          </w:p>
        </w:tc>
        <w:tc>
          <w:tcPr>
            <w:tcW w:w="2538" w:type="pct"/>
            <w:noWrap w:val="0"/>
            <w:vAlign w:val="center"/>
          </w:tcPr>
          <w:p w14:paraId="5C38375B">
            <w:pPr>
              <w:widowControl/>
              <w:spacing w:line="240" w:lineRule="auto"/>
              <w:ind w:firstLine="0" w:firstLineChars="0"/>
              <w:jc w:val="left"/>
              <w:rPr>
                <w:rFonts w:hint="default" w:ascii="方正仿宋_GBK" w:hAnsi="方正仿宋_GBK" w:eastAsia="方正仿宋_GBK" w:cs="方正仿宋_GBK"/>
                <w:color w:val="000000"/>
                <w:kern w:val="0"/>
                <w:sz w:val="24"/>
                <w:szCs w:val="24"/>
                <w:highlight w:val="none"/>
                <w:lang w:val="en-US" w:eastAsia="zh-CN"/>
              </w:rPr>
            </w:pPr>
            <w:r>
              <w:rPr>
                <w:rFonts w:hint="default" w:ascii="方正仿宋_GBK" w:hAnsi="方正仿宋_GBK" w:eastAsia="方正仿宋_GBK" w:cs="方正仿宋_GBK"/>
                <w:color w:val="000000"/>
                <w:kern w:val="0"/>
                <w:sz w:val="24"/>
                <w:szCs w:val="24"/>
                <w:highlight w:val="none"/>
                <w:lang w:val="en-US" w:eastAsia="zh-CN"/>
              </w:rPr>
              <w:t>1.处方（医嘱）用药审查功能</w:t>
            </w:r>
          </w:p>
          <w:p w14:paraId="0CBAC773">
            <w:pPr>
              <w:widowControl/>
              <w:spacing w:line="240" w:lineRule="auto"/>
              <w:ind w:firstLine="0" w:firstLineChars="0"/>
              <w:jc w:val="left"/>
              <w:rPr>
                <w:rFonts w:hint="default" w:ascii="方正仿宋_GBK" w:hAnsi="方正仿宋_GBK" w:eastAsia="方正仿宋_GBK" w:cs="方正仿宋_GBK"/>
                <w:color w:val="000000"/>
                <w:kern w:val="0"/>
                <w:sz w:val="24"/>
                <w:szCs w:val="24"/>
                <w:highlight w:val="none"/>
                <w:lang w:val="en-US" w:eastAsia="zh-CN"/>
              </w:rPr>
            </w:pPr>
            <w:r>
              <w:rPr>
                <w:rFonts w:hint="default" w:ascii="方正仿宋_GBK" w:hAnsi="方正仿宋_GBK" w:eastAsia="方正仿宋_GBK" w:cs="方正仿宋_GBK"/>
                <w:color w:val="000000"/>
                <w:kern w:val="0"/>
                <w:sz w:val="24"/>
                <w:szCs w:val="24"/>
                <w:highlight w:val="none"/>
                <w:lang w:val="en-US" w:eastAsia="zh-CN"/>
              </w:rPr>
              <w:t>2.药品信息提示功能</w:t>
            </w:r>
          </w:p>
          <w:p w14:paraId="50EE5ECC">
            <w:pPr>
              <w:widowControl/>
              <w:spacing w:line="240" w:lineRule="auto"/>
              <w:ind w:firstLine="0" w:firstLineChars="0"/>
              <w:jc w:val="left"/>
              <w:rPr>
                <w:rFonts w:hint="default" w:ascii="方正仿宋_GBK" w:hAnsi="方正仿宋_GBK" w:eastAsia="方正仿宋_GBK" w:cs="方正仿宋_GBK"/>
                <w:color w:val="000000"/>
                <w:kern w:val="0"/>
                <w:sz w:val="24"/>
                <w:szCs w:val="24"/>
                <w:highlight w:val="none"/>
                <w:lang w:val="en-US" w:eastAsia="zh-CN"/>
              </w:rPr>
            </w:pPr>
            <w:r>
              <w:rPr>
                <w:rFonts w:hint="default" w:ascii="方正仿宋_GBK" w:hAnsi="方正仿宋_GBK" w:eastAsia="方正仿宋_GBK" w:cs="方正仿宋_GBK"/>
                <w:color w:val="000000"/>
                <w:kern w:val="0"/>
                <w:sz w:val="24"/>
                <w:szCs w:val="24"/>
                <w:highlight w:val="none"/>
                <w:lang w:val="en-US" w:eastAsia="zh-CN"/>
              </w:rPr>
              <w:t>3.药品专项管控</w:t>
            </w:r>
          </w:p>
          <w:p w14:paraId="528FB4FE">
            <w:pPr>
              <w:widowControl/>
              <w:spacing w:line="240" w:lineRule="auto"/>
              <w:ind w:firstLine="0" w:firstLineChars="0"/>
              <w:jc w:val="left"/>
              <w:rPr>
                <w:rFonts w:hint="default" w:ascii="方正仿宋_GBK" w:hAnsi="方正仿宋_GBK" w:eastAsia="方正仿宋_GBK" w:cs="方正仿宋_GBK"/>
                <w:color w:val="000000"/>
                <w:kern w:val="0"/>
                <w:sz w:val="24"/>
                <w:szCs w:val="24"/>
                <w:highlight w:val="none"/>
                <w:lang w:val="en-US" w:eastAsia="zh-CN"/>
              </w:rPr>
            </w:pPr>
            <w:r>
              <w:rPr>
                <w:rFonts w:hint="default" w:ascii="方正仿宋_GBK" w:hAnsi="方正仿宋_GBK" w:eastAsia="方正仿宋_GBK" w:cs="方正仿宋_GBK"/>
                <w:color w:val="000000"/>
                <w:kern w:val="0"/>
                <w:sz w:val="24"/>
                <w:szCs w:val="24"/>
                <w:highlight w:val="none"/>
                <w:lang w:val="en-US" w:eastAsia="zh-CN"/>
              </w:rPr>
              <w:t>4.用药指导单</w:t>
            </w:r>
          </w:p>
          <w:p w14:paraId="4E158139">
            <w:pPr>
              <w:widowControl/>
              <w:spacing w:line="240" w:lineRule="auto"/>
              <w:ind w:firstLine="0" w:firstLineChars="0"/>
              <w:jc w:val="left"/>
              <w:rPr>
                <w:rFonts w:hint="default" w:ascii="方正仿宋_GBK" w:hAnsi="方正仿宋_GBK" w:eastAsia="方正仿宋_GBK" w:cs="方正仿宋_GBK"/>
                <w:color w:val="000000"/>
                <w:kern w:val="0"/>
                <w:sz w:val="24"/>
                <w:szCs w:val="24"/>
                <w:highlight w:val="none"/>
                <w:lang w:val="en-US" w:eastAsia="zh-CN"/>
              </w:rPr>
            </w:pPr>
            <w:r>
              <w:rPr>
                <w:rFonts w:hint="default" w:ascii="方正仿宋_GBK" w:hAnsi="方正仿宋_GBK" w:eastAsia="方正仿宋_GBK" w:cs="方正仿宋_GBK"/>
                <w:color w:val="000000"/>
                <w:kern w:val="0"/>
                <w:sz w:val="24"/>
                <w:szCs w:val="24"/>
                <w:highlight w:val="none"/>
                <w:lang w:val="en-US" w:eastAsia="zh-CN"/>
              </w:rPr>
              <w:t>5.审查提示屏蔽功能</w:t>
            </w:r>
          </w:p>
          <w:p w14:paraId="600CD6B3">
            <w:pPr>
              <w:widowControl/>
              <w:spacing w:line="240" w:lineRule="auto"/>
              <w:ind w:firstLine="0" w:firstLineChars="0"/>
              <w:jc w:val="left"/>
              <w:rPr>
                <w:rFonts w:hint="default" w:ascii="方正仿宋_GBK" w:hAnsi="方正仿宋_GBK" w:eastAsia="方正仿宋_GBK" w:cs="方正仿宋_GBK"/>
                <w:color w:val="000000"/>
                <w:kern w:val="0"/>
                <w:sz w:val="24"/>
                <w:szCs w:val="24"/>
                <w:highlight w:val="none"/>
                <w:lang w:val="en-US" w:eastAsia="zh-CN"/>
              </w:rPr>
            </w:pPr>
            <w:r>
              <w:rPr>
                <w:rFonts w:hint="default" w:ascii="方正仿宋_GBK" w:hAnsi="方正仿宋_GBK" w:eastAsia="方正仿宋_GBK" w:cs="方正仿宋_GBK"/>
                <w:color w:val="000000"/>
                <w:kern w:val="0"/>
                <w:sz w:val="24"/>
                <w:szCs w:val="24"/>
                <w:highlight w:val="none"/>
                <w:lang w:val="en-US" w:eastAsia="zh-CN"/>
              </w:rPr>
              <w:t>6.审查规则自定义功能（医院专家知识库）</w:t>
            </w:r>
          </w:p>
          <w:p w14:paraId="46480359">
            <w:pPr>
              <w:widowControl/>
              <w:spacing w:line="240" w:lineRule="auto"/>
              <w:ind w:firstLine="0" w:firstLineChars="0"/>
              <w:jc w:val="left"/>
              <w:rPr>
                <w:rFonts w:hint="default" w:ascii="方正仿宋_GBK" w:hAnsi="方正仿宋_GBK" w:eastAsia="方正仿宋_GBK" w:cs="方正仿宋_GBK"/>
                <w:color w:val="000000"/>
                <w:kern w:val="0"/>
                <w:sz w:val="24"/>
                <w:szCs w:val="24"/>
                <w:highlight w:val="none"/>
                <w:lang w:val="en-US" w:eastAsia="zh-CN"/>
              </w:rPr>
            </w:pPr>
            <w:r>
              <w:rPr>
                <w:rFonts w:hint="default" w:ascii="方正仿宋_GBK" w:hAnsi="方正仿宋_GBK" w:eastAsia="方正仿宋_GBK" w:cs="方正仿宋_GBK"/>
                <w:color w:val="000000"/>
                <w:kern w:val="0"/>
                <w:sz w:val="24"/>
                <w:szCs w:val="24"/>
                <w:highlight w:val="none"/>
                <w:lang w:val="en-US" w:eastAsia="zh-CN"/>
              </w:rPr>
              <w:t>7.统计分析功能</w:t>
            </w:r>
          </w:p>
          <w:p w14:paraId="4ABB170F">
            <w:pPr>
              <w:widowControl/>
              <w:spacing w:line="240" w:lineRule="auto"/>
              <w:ind w:firstLine="0" w:firstLineChars="0"/>
              <w:jc w:val="left"/>
              <w:rPr>
                <w:rFonts w:hint="default" w:ascii="方正仿宋_GBK" w:hAnsi="方正仿宋_GBK" w:eastAsia="方正仿宋_GBK" w:cs="方正仿宋_GBK"/>
                <w:color w:val="000000"/>
                <w:kern w:val="0"/>
                <w:sz w:val="24"/>
                <w:szCs w:val="24"/>
                <w:highlight w:val="none"/>
                <w:lang w:val="en-US" w:eastAsia="zh-CN"/>
              </w:rPr>
            </w:pPr>
            <w:r>
              <w:rPr>
                <w:rFonts w:hint="default" w:ascii="方正仿宋_GBK" w:hAnsi="方正仿宋_GBK" w:eastAsia="方正仿宋_GBK" w:cs="方正仿宋_GBK"/>
                <w:color w:val="000000"/>
                <w:kern w:val="0"/>
                <w:sz w:val="24"/>
                <w:szCs w:val="24"/>
                <w:highlight w:val="none"/>
                <w:lang w:val="en-US" w:eastAsia="zh-CN"/>
              </w:rPr>
              <w:t>8.通讯功能</w:t>
            </w:r>
          </w:p>
        </w:tc>
      </w:tr>
      <w:tr w14:paraId="699BA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72" w:type="pct"/>
            <w:noWrap w:val="0"/>
            <w:vAlign w:val="center"/>
          </w:tcPr>
          <w:p w14:paraId="41B26E77">
            <w:pPr>
              <w:widowControl/>
              <w:spacing w:line="240" w:lineRule="auto"/>
              <w:ind w:firstLine="0" w:firstLineChars="0"/>
              <w:jc w:val="center"/>
              <w:rPr>
                <w:rFonts w:hint="eastAsia" w:ascii="方正仿宋_GBK" w:hAnsi="方正仿宋_GBK" w:eastAsia="方正仿宋_GBK" w:cs="方正仿宋_GBK"/>
                <w:color w:val="000000"/>
                <w:kern w:val="0"/>
                <w:sz w:val="24"/>
                <w:szCs w:val="24"/>
                <w:highlight w:val="none"/>
                <w:lang w:eastAsia="zh-CN"/>
              </w:rPr>
            </w:pPr>
            <w:r>
              <w:rPr>
                <w:rFonts w:hint="eastAsia" w:ascii="方正仿宋_GBK" w:hAnsi="方正仿宋_GBK" w:eastAsia="方正仿宋_GBK" w:cs="方正仿宋_GBK"/>
                <w:color w:val="000000"/>
                <w:kern w:val="0"/>
                <w:sz w:val="24"/>
                <w:szCs w:val="24"/>
                <w:highlight w:val="none"/>
                <w:lang w:val="en-US" w:eastAsia="zh-CN"/>
              </w:rPr>
              <w:t>2</w:t>
            </w:r>
          </w:p>
        </w:tc>
        <w:tc>
          <w:tcPr>
            <w:tcW w:w="795" w:type="pct"/>
            <w:vMerge w:val="continue"/>
            <w:noWrap w:val="0"/>
            <w:vAlign w:val="center"/>
          </w:tcPr>
          <w:p w14:paraId="25472610">
            <w:pPr>
              <w:widowControl/>
              <w:spacing w:line="240" w:lineRule="auto"/>
              <w:ind w:firstLine="0" w:firstLineChars="0"/>
              <w:jc w:val="left"/>
              <w:rPr>
                <w:rFonts w:hint="eastAsia" w:ascii="方正仿宋_GBK" w:hAnsi="方正仿宋_GBK" w:eastAsia="方正仿宋_GBK" w:cs="方正仿宋_GBK"/>
                <w:color w:val="000000"/>
                <w:kern w:val="0"/>
                <w:sz w:val="24"/>
                <w:szCs w:val="24"/>
                <w:highlight w:val="none"/>
              </w:rPr>
            </w:pPr>
          </w:p>
        </w:tc>
        <w:tc>
          <w:tcPr>
            <w:tcW w:w="1093" w:type="pct"/>
            <w:noWrap w:val="0"/>
            <w:vAlign w:val="center"/>
          </w:tcPr>
          <w:p w14:paraId="2D517C64">
            <w:pPr>
              <w:pStyle w:val="16"/>
              <w:widowControl/>
              <w:spacing w:beforeAutospacing="0" w:afterAutospacing="0" w:line="540" w:lineRule="atLeast"/>
              <w:jc w:val="left"/>
              <w:rPr>
                <w:rFonts w:hint="eastAsia"/>
                <w:color w:val="555555"/>
                <w:sz w:val="21"/>
                <w:szCs w:val="21"/>
                <w:highlight w:val="none"/>
                <w:lang w:eastAsia="zh-CN"/>
              </w:rPr>
            </w:pPr>
            <w:r>
              <w:rPr>
                <w:rFonts w:hint="eastAsia"/>
                <w:color w:val="555555"/>
                <w:sz w:val="21"/>
                <w:szCs w:val="21"/>
                <w:highlight w:val="none"/>
                <w:lang w:eastAsia="zh-CN"/>
              </w:rPr>
              <w:t>药师审方</w:t>
            </w:r>
          </w:p>
          <w:p w14:paraId="5BA2BAA7">
            <w:pPr>
              <w:widowControl/>
              <w:spacing w:line="240" w:lineRule="auto"/>
              <w:ind w:firstLine="0" w:firstLineChars="0"/>
              <w:jc w:val="left"/>
              <w:rPr>
                <w:rFonts w:hint="eastAsia" w:ascii="方正仿宋_GBK" w:hAnsi="方正仿宋_GBK" w:eastAsia="方正仿宋_GBK" w:cs="方正仿宋_GBK"/>
                <w:color w:val="000000"/>
                <w:kern w:val="0"/>
                <w:sz w:val="24"/>
                <w:szCs w:val="24"/>
                <w:highlight w:val="none"/>
              </w:rPr>
            </w:pPr>
          </w:p>
        </w:tc>
        <w:tc>
          <w:tcPr>
            <w:tcW w:w="2538" w:type="pct"/>
            <w:noWrap w:val="0"/>
            <w:vAlign w:val="center"/>
          </w:tcPr>
          <w:p w14:paraId="237780E8">
            <w:pPr>
              <w:widowControl/>
              <w:spacing w:line="240" w:lineRule="auto"/>
              <w:ind w:firstLine="0" w:firstLineChars="0"/>
              <w:jc w:val="left"/>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1.审方时机和过程</w:t>
            </w:r>
          </w:p>
          <w:p w14:paraId="123DA90F">
            <w:pPr>
              <w:widowControl/>
              <w:spacing w:line="240" w:lineRule="auto"/>
              <w:ind w:firstLine="0" w:firstLineChars="0"/>
              <w:jc w:val="left"/>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2.审方干预功能</w:t>
            </w:r>
          </w:p>
          <w:p w14:paraId="0F5D7640">
            <w:pPr>
              <w:widowControl/>
              <w:spacing w:line="240" w:lineRule="auto"/>
              <w:ind w:firstLine="0" w:firstLineChars="0"/>
              <w:jc w:val="left"/>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3.质量评价功能</w:t>
            </w:r>
          </w:p>
          <w:p w14:paraId="17A9BCFA">
            <w:pPr>
              <w:widowControl/>
              <w:spacing w:line="240" w:lineRule="auto"/>
              <w:ind w:firstLine="0" w:firstLineChars="0"/>
              <w:jc w:val="left"/>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4.审方干预自定义功能</w:t>
            </w:r>
          </w:p>
          <w:p w14:paraId="19F03005">
            <w:pPr>
              <w:widowControl/>
              <w:spacing w:line="240" w:lineRule="auto"/>
              <w:ind w:firstLine="0" w:firstLineChars="0"/>
              <w:jc w:val="left"/>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5.系统审查</w:t>
            </w:r>
          </w:p>
          <w:p w14:paraId="25E8AEDD">
            <w:pPr>
              <w:widowControl/>
              <w:spacing w:line="240" w:lineRule="auto"/>
              <w:ind w:firstLine="0" w:firstLineChars="0"/>
              <w:jc w:val="left"/>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6.统计分析</w:t>
            </w:r>
          </w:p>
          <w:p w14:paraId="54339348">
            <w:pPr>
              <w:widowControl/>
              <w:spacing w:line="240" w:lineRule="auto"/>
              <w:ind w:firstLine="0" w:firstLineChars="0"/>
              <w:jc w:val="left"/>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7.大屏展示功能</w:t>
            </w:r>
          </w:p>
        </w:tc>
      </w:tr>
      <w:tr w14:paraId="11743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72" w:type="pct"/>
            <w:noWrap w:val="0"/>
            <w:vAlign w:val="center"/>
          </w:tcPr>
          <w:p w14:paraId="1F42B20E">
            <w:pPr>
              <w:widowControl/>
              <w:spacing w:line="240" w:lineRule="auto"/>
              <w:ind w:firstLine="0" w:firstLineChars="0"/>
              <w:jc w:val="center"/>
              <w:rPr>
                <w:rFonts w:hint="eastAsia" w:ascii="方正仿宋_GBK" w:hAnsi="方正仿宋_GBK" w:eastAsia="方正仿宋_GBK" w:cs="方正仿宋_GBK"/>
                <w:color w:val="000000"/>
                <w:kern w:val="0"/>
                <w:sz w:val="24"/>
                <w:szCs w:val="24"/>
                <w:highlight w:val="none"/>
                <w:lang w:eastAsia="zh-CN"/>
              </w:rPr>
            </w:pPr>
            <w:r>
              <w:rPr>
                <w:rFonts w:hint="eastAsia" w:ascii="方正仿宋_GBK" w:hAnsi="方正仿宋_GBK" w:eastAsia="方正仿宋_GBK" w:cs="方正仿宋_GBK"/>
                <w:color w:val="000000"/>
                <w:kern w:val="0"/>
                <w:sz w:val="24"/>
                <w:szCs w:val="24"/>
                <w:highlight w:val="none"/>
                <w:lang w:val="en-US" w:eastAsia="zh-CN"/>
              </w:rPr>
              <w:t>3</w:t>
            </w:r>
          </w:p>
        </w:tc>
        <w:tc>
          <w:tcPr>
            <w:tcW w:w="795" w:type="pct"/>
            <w:vMerge w:val="continue"/>
            <w:noWrap w:val="0"/>
            <w:vAlign w:val="center"/>
          </w:tcPr>
          <w:p w14:paraId="785DB447">
            <w:pPr>
              <w:widowControl/>
              <w:spacing w:line="240" w:lineRule="auto"/>
              <w:ind w:firstLine="0" w:firstLineChars="0"/>
              <w:jc w:val="left"/>
              <w:rPr>
                <w:rFonts w:hint="eastAsia" w:ascii="方正仿宋_GBK" w:hAnsi="方正仿宋_GBK" w:eastAsia="方正仿宋_GBK" w:cs="方正仿宋_GBK"/>
                <w:color w:val="000000"/>
                <w:kern w:val="0"/>
                <w:sz w:val="24"/>
                <w:szCs w:val="24"/>
                <w:highlight w:val="none"/>
              </w:rPr>
            </w:pPr>
          </w:p>
        </w:tc>
        <w:tc>
          <w:tcPr>
            <w:tcW w:w="1093" w:type="pct"/>
            <w:noWrap w:val="0"/>
            <w:vAlign w:val="center"/>
          </w:tcPr>
          <w:p w14:paraId="1CDC615F">
            <w:pPr>
              <w:widowControl/>
              <w:spacing w:line="240" w:lineRule="auto"/>
              <w:ind w:firstLine="0" w:firstLineChars="0"/>
              <w:jc w:val="left"/>
              <w:rPr>
                <w:rFonts w:hint="eastAsia" w:ascii="方正仿宋_GBK" w:hAnsi="方正仿宋_GBK" w:eastAsia="方正仿宋_GBK" w:cs="方正仿宋_GBK"/>
                <w:color w:val="000000"/>
                <w:kern w:val="0"/>
                <w:sz w:val="24"/>
                <w:szCs w:val="24"/>
                <w:highlight w:val="none"/>
              </w:rPr>
            </w:pPr>
            <w:r>
              <w:rPr>
                <w:rFonts w:hint="eastAsia"/>
                <w:color w:val="555555"/>
                <w:sz w:val="21"/>
                <w:szCs w:val="21"/>
                <w:highlight w:val="none"/>
                <w:lang w:eastAsia="zh-CN"/>
              </w:rPr>
              <w:t>处方点评</w:t>
            </w:r>
          </w:p>
        </w:tc>
        <w:tc>
          <w:tcPr>
            <w:tcW w:w="2538" w:type="pct"/>
            <w:noWrap w:val="0"/>
            <w:vAlign w:val="center"/>
          </w:tcPr>
          <w:p w14:paraId="465C6F0A">
            <w:pPr>
              <w:widowControl/>
              <w:spacing w:line="240" w:lineRule="auto"/>
              <w:ind w:firstLine="0" w:firstLineChars="0"/>
              <w:jc w:val="left"/>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1.智慧中心</w:t>
            </w:r>
          </w:p>
          <w:p w14:paraId="2A3C2B7C">
            <w:pPr>
              <w:widowControl/>
              <w:spacing w:line="240" w:lineRule="auto"/>
              <w:ind w:firstLine="0" w:firstLineChars="0"/>
              <w:jc w:val="left"/>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2.读取和查看病人信息</w:t>
            </w:r>
          </w:p>
          <w:p w14:paraId="23CF2179">
            <w:pPr>
              <w:widowControl/>
              <w:spacing w:line="240" w:lineRule="auto"/>
              <w:ind w:firstLine="0" w:firstLineChars="0"/>
              <w:jc w:val="left"/>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3.处方点评</w:t>
            </w:r>
          </w:p>
          <w:p w14:paraId="74E7B5BE">
            <w:pPr>
              <w:widowControl/>
              <w:spacing w:line="240" w:lineRule="auto"/>
              <w:ind w:firstLine="0" w:firstLineChars="0"/>
              <w:jc w:val="left"/>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4.抗菌药物临床应用监测</w:t>
            </w:r>
          </w:p>
          <w:p w14:paraId="50473C04">
            <w:pPr>
              <w:widowControl/>
              <w:spacing w:line="240" w:lineRule="auto"/>
              <w:ind w:firstLine="0" w:firstLineChars="0"/>
              <w:jc w:val="left"/>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5.电子药历</w:t>
            </w:r>
          </w:p>
          <w:p w14:paraId="4C54452D">
            <w:pPr>
              <w:widowControl/>
              <w:spacing w:line="240" w:lineRule="auto"/>
              <w:ind w:firstLine="0" w:firstLineChars="0"/>
              <w:jc w:val="left"/>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6.统计分析</w:t>
            </w:r>
          </w:p>
          <w:p w14:paraId="43B3B0C6">
            <w:pPr>
              <w:widowControl/>
              <w:spacing w:line="240" w:lineRule="auto"/>
              <w:ind w:firstLine="0" w:firstLineChars="0"/>
              <w:jc w:val="left"/>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7.其它</w:t>
            </w:r>
          </w:p>
        </w:tc>
      </w:tr>
      <w:tr w14:paraId="0B859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72" w:type="pct"/>
            <w:noWrap w:val="0"/>
            <w:vAlign w:val="center"/>
          </w:tcPr>
          <w:p w14:paraId="1735DA4A">
            <w:pPr>
              <w:widowControl/>
              <w:spacing w:line="240" w:lineRule="auto"/>
              <w:ind w:firstLine="0" w:firstLineChars="0"/>
              <w:jc w:val="center"/>
              <w:rPr>
                <w:rFonts w:hint="eastAsia" w:ascii="方正仿宋_GBK" w:hAnsi="方正仿宋_GBK" w:eastAsia="方正仿宋_GBK" w:cs="方正仿宋_GBK"/>
                <w:color w:val="000000"/>
                <w:kern w:val="0"/>
                <w:sz w:val="24"/>
                <w:szCs w:val="24"/>
                <w:highlight w:val="none"/>
                <w:lang w:val="en-US" w:eastAsia="zh-CN"/>
              </w:rPr>
            </w:pPr>
            <w:r>
              <w:rPr>
                <w:rFonts w:hint="eastAsia" w:ascii="方正仿宋_GBK" w:hAnsi="方正仿宋_GBK" w:eastAsia="方正仿宋_GBK" w:cs="方正仿宋_GBK"/>
                <w:color w:val="000000"/>
                <w:kern w:val="0"/>
                <w:sz w:val="24"/>
                <w:szCs w:val="24"/>
                <w:highlight w:val="none"/>
                <w:lang w:val="en-US" w:eastAsia="zh-CN"/>
              </w:rPr>
              <w:t>4</w:t>
            </w:r>
          </w:p>
        </w:tc>
        <w:tc>
          <w:tcPr>
            <w:tcW w:w="795" w:type="pct"/>
            <w:vMerge w:val="continue"/>
            <w:noWrap w:val="0"/>
            <w:vAlign w:val="center"/>
          </w:tcPr>
          <w:p w14:paraId="0B452BF9">
            <w:pPr>
              <w:widowControl/>
              <w:spacing w:line="240" w:lineRule="auto"/>
              <w:ind w:firstLine="0" w:firstLineChars="0"/>
              <w:jc w:val="left"/>
              <w:rPr>
                <w:rFonts w:hint="eastAsia" w:ascii="方正仿宋_GBK" w:hAnsi="方正仿宋_GBK" w:eastAsia="方正仿宋_GBK" w:cs="方正仿宋_GBK"/>
                <w:color w:val="000000"/>
                <w:kern w:val="0"/>
                <w:sz w:val="24"/>
                <w:szCs w:val="24"/>
                <w:highlight w:val="none"/>
              </w:rPr>
            </w:pPr>
          </w:p>
        </w:tc>
        <w:tc>
          <w:tcPr>
            <w:tcW w:w="1093" w:type="pct"/>
            <w:noWrap w:val="0"/>
            <w:vAlign w:val="center"/>
          </w:tcPr>
          <w:p w14:paraId="625D5556">
            <w:pPr>
              <w:widowControl/>
              <w:spacing w:line="240" w:lineRule="auto"/>
              <w:ind w:firstLine="0" w:firstLineChars="0"/>
              <w:jc w:val="left"/>
              <w:rPr>
                <w:rFonts w:hint="eastAsia" w:ascii="方正仿宋_GBK" w:hAnsi="方正仿宋_GBK" w:eastAsia="方正仿宋_GBK" w:cs="方正仿宋_GBK"/>
                <w:kern w:val="0"/>
                <w:sz w:val="24"/>
                <w:szCs w:val="24"/>
                <w:highlight w:val="none"/>
                <w:lang w:val="en-US" w:eastAsia="zh-CN" w:bidi="ar-SA"/>
              </w:rPr>
            </w:pPr>
            <w:r>
              <w:rPr>
                <w:rFonts w:hint="eastAsia"/>
                <w:color w:val="555555"/>
                <w:sz w:val="21"/>
                <w:szCs w:val="21"/>
                <w:highlight w:val="none"/>
                <w:lang w:eastAsia="zh-CN"/>
              </w:rPr>
              <w:t>药物信息查询</w:t>
            </w:r>
          </w:p>
        </w:tc>
        <w:tc>
          <w:tcPr>
            <w:tcW w:w="2538" w:type="pct"/>
            <w:noWrap w:val="0"/>
            <w:vAlign w:val="center"/>
          </w:tcPr>
          <w:p w14:paraId="2216B47D">
            <w:pPr>
              <w:widowControl/>
              <w:spacing w:line="240" w:lineRule="auto"/>
              <w:ind w:firstLine="0" w:firstLineChars="0"/>
              <w:jc w:val="left"/>
              <w:rPr>
                <w:rFonts w:hint="eastAsia" w:ascii="方正仿宋_GBK" w:hAnsi="方正仿宋_GBK" w:eastAsia="方正仿宋_GBK" w:cs="方正仿宋_GBK"/>
                <w:color w:val="000000"/>
                <w:kern w:val="0"/>
                <w:sz w:val="24"/>
                <w:szCs w:val="24"/>
                <w:highlight w:val="none"/>
                <w:lang w:val="en-US" w:eastAsia="zh-CN" w:bidi="ar-SA"/>
              </w:rPr>
            </w:pPr>
            <w:r>
              <w:rPr>
                <w:rFonts w:hint="eastAsia" w:ascii="方正仿宋_GBK" w:hAnsi="方正仿宋_GBK" w:eastAsia="方正仿宋_GBK" w:cs="方正仿宋_GBK"/>
                <w:color w:val="000000"/>
                <w:kern w:val="0"/>
                <w:sz w:val="24"/>
                <w:szCs w:val="24"/>
                <w:highlight w:val="none"/>
                <w:lang w:val="en-US" w:eastAsia="zh-CN" w:bidi="ar-SA"/>
              </w:rPr>
              <w:t>1.药物信息参考</w:t>
            </w:r>
          </w:p>
          <w:p w14:paraId="3A091208">
            <w:pPr>
              <w:widowControl/>
              <w:spacing w:line="240" w:lineRule="auto"/>
              <w:ind w:firstLine="0" w:firstLineChars="0"/>
              <w:jc w:val="left"/>
              <w:rPr>
                <w:rFonts w:hint="eastAsia" w:ascii="方正仿宋_GBK" w:hAnsi="方正仿宋_GBK" w:eastAsia="方正仿宋_GBK" w:cs="方正仿宋_GBK"/>
                <w:color w:val="000000"/>
                <w:kern w:val="0"/>
                <w:sz w:val="24"/>
                <w:szCs w:val="24"/>
                <w:highlight w:val="none"/>
                <w:lang w:val="en-US" w:eastAsia="zh-CN" w:bidi="ar-SA"/>
              </w:rPr>
            </w:pPr>
            <w:r>
              <w:rPr>
                <w:rFonts w:hint="eastAsia" w:ascii="方正仿宋_GBK" w:hAnsi="方正仿宋_GBK" w:eastAsia="方正仿宋_GBK" w:cs="方正仿宋_GBK"/>
                <w:color w:val="000000"/>
                <w:kern w:val="0"/>
                <w:sz w:val="24"/>
                <w:szCs w:val="24"/>
                <w:highlight w:val="none"/>
                <w:lang w:val="en-US" w:eastAsia="zh-CN" w:bidi="ar-SA"/>
              </w:rPr>
              <w:t>2.药品说明书</w:t>
            </w:r>
          </w:p>
          <w:p w14:paraId="79E1112F">
            <w:pPr>
              <w:widowControl/>
              <w:spacing w:line="240" w:lineRule="auto"/>
              <w:ind w:firstLine="0" w:firstLineChars="0"/>
              <w:jc w:val="left"/>
              <w:rPr>
                <w:rFonts w:hint="eastAsia" w:ascii="方正仿宋_GBK" w:hAnsi="方正仿宋_GBK" w:eastAsia="方正仿宋_GBK" w:cs="方正仿宋_GBK"/>
                <w:color w:val="000000"/>
                <w:kern w:val="0"/>
                <w:sz w:val="24"/>
                <w:szCs w:val="24"/>
                <w:highlight w:val="none"/>
                <w:lang w:val="en-US" w:eastAsia="zh-CN" w:bidi="ar-SA"/>
              </w:rPr>
            </w:pPr>
            <w:r>
              <w:rPr>
                <w:rFonts w:hint="eastAsia" w:ascii="方正仿宋_GBK" w:hAnsi="方正仿宋_GBK" w:eastAsia="方正仿宋_GBK" w:cs="方正仿宋_GBK"/>
                <w:color w:val="000000"/>
                <w:kern w:val="0"/>
                <w:sz w:val="24"/>
                <w:szCs w:val="24"/>
                <w:highlight w:val="none"/>
                <w:lang w:val="en-US" w:eastAsia="zh-CN" w:bidi="ar-SA"/>
              </w:rPr>
              <w:t>3.妊娠哺乳用药</w:t>
            </w:r>
          </w:p>
          <w:p w14:paraId="35B2000B">
            <w:pPr>
              <w:widowControl/>
              <w:spacing w:line="240" w:lineRule="auto"/>
              <w:ind w:firstLine="0" w:firstLineChars="0"/>
              <w:jc w:val="left"/>
              <w:rPr>
                <w:rFonts w:hint="eastAsia" w:ascii="方正仿宋_GBK" w:hAnsi="方正仿宋_GBK" w:eastAsia="方正仿宋_GBK" w:cs="方正仿宋_GBK"/>
                <w:color w:val="000000"/>
                <w:kern w:val="0"/>
                <w:sz w:val="24"/>
                <w:szCs w:val="24"/>
                <w:highlight w:val="none"/>
                <w:lang w:val="en-US" w:eastAsia="zh-CN" w:bidi="ar-SA"/>
              </w:rPr>
            </w:pPr>
            <w:r>
              <w:rPr>
                <w:rFonts w:hint="eastAsia" w:ascii="方正仿宋_GBK" w:hAnsi="方正仿宋_GBK" w:eastAsia="方正仿宋_GBK" w:cs="方正仿宋_GBK"/>
                <w:color w:val="000000"/>
                <w:kern w:val="0"/>
                <w:sz w:val="24"/>
                <w:szCs w:val="24"/>
                <w:highlight w:val="none"/>
                <w:lang w:val="en-US" w:eastAsia="zh-CN" w:bidi="ar-SA"/>
              </w:rPr>
              <w:t>4.用药教育</w:t>
            </w:r>
          </w:p>
          <w:p w14:paraId="46530521">
            <w:pPr>
              <w:widowControl/>
              <w:spacing w:line="240" w:lineRule="auto"/>
              <w:ind w:firstLine="0" w:firstLineChars="0"/>
              <w:jc w:val="left"/>
              <w:rPr>
                <w:rFonts w:hint="eastAsia" w:ascii="方正仿宋_GBK" w:hAnsi="方正仿宋_GBK" w:eastAsia="方正仿宋_GBK" w:cs="方正仿宋_GBK"/>
                <w:color w:val="000000"/>
                <w:kern w:val="0"/>
                <w:sz w:val="24"/>
                <w:szCs w:val="24"/>
                <w:highlight w:val="none"/>
                <w:lang w:val="en-US" w:eastAsia="zh-CN" w:bidi="ar-SA"/>
              </w:rPr>
            </w:pPr>
            <w:r>
              <w:rPr>
                <w:rFonts w:hint="eastAsia" w:ascii="方正仿宋_GBK" w:hAnsi="方正仿宋_GBK" w:eastAsia="方正仿宋_GBK" w:cs="方正仿宋_GBK"/>
                <w:color w:val="000000"/>
                <w:kern w:val="0"/>
                <w:sz w:val="24"/>
                <w:szCs w:val="24"/>
                <w:highlight w:val="none"/>
                <w:lang w:val="en-US" w:eastAsia="zh-CN" w:bidi="ar-SA"/>
              </w:rPr>
              <w:t>5.临床指南</w:t>
            </w:r>
          </w:p>
          <w:p w14:paraId="36EC7B76">
            <w:pPr>
              <w:widowControl/>
              <w:spacing w:line="240" w:lineRule="auto"/>
              <w:ind w:firstLine="0" w:firstLineChars="0"/>
              <w:jc w:val="left"/>
              <w:rPr>
                <w:rFonts w:hint="eastAsia" w:ascii="方正仿宋_GBK" w:hAnsi="方正仿宋_GBK" w:eastAsia="方正仿宋_GBK" w:cs="方正仿宋_GBK"/>
                <w:color w:val="000000"/>
                <w:kern w:val="0"/>
                <w:sz w:val="24"/>
                <w:szCs w:val="24"/>
                <w:highlight w:val="none"/>
                <w:lang w:val="en-US" w:eastAsia="zh-CN" w:bidi="ar-SA"/>
              </w:rPr>
            </w:pPr>
            <w:r>
              <w:rPr>
                <w:rFonts w:hint="eastAsia" w:ascii="方正仿宋_GBK" w:hAnsi="方正仿宋_GBK" w:eastAsia="方正仿宋_GBK" w:cs="方正仿宋_GBK"/>
                <w:color w:val="000000"/>
                <w:kern w:val="0"/>
                <w:sz w:val="24"/>
                <w:szCs w:val="24"/>
                <w:highlight w:val="none"/>
                <w:lang w:val="en-US" w:eastAsia="zh-CN" w:bidi="ar-SA"/>
              </w:rPr>
              <w:t>6.ICD</w:t>
            </w:r>
          </w:p>
          <w:p w14:paraId="67E7BCA3">
            <w:pPr>
              <w:widowControl/>
              <w:spacing w:line="240" w:lineRule="auto"/>
              <w:ind w:firstLine="0" w:firstLineChars="0"/>
              <w:jc w:val="left"/>
              <w:rPr>
                <w:rFonts w:hint="eastAsia" w:ascii="方正仿宋_GBK" w:hAnsi="方正仿宋_GBK" w:eastAsia="方正仿宋_GBK" w:cs="方正仿宋_GBK"/>
                <w:color w:val="000000"/>
                <w:kern w:val="0"/>
                <w:sz w:val="24"/>
                <w:szCs w:val="24"/>
                <w:highlight w:val="none"/>
                <w:lang w:val="en-US" w:eastAsia="zh-CN" w:bidi="ar-SA"/>
              </w:rPr>
            </w:pPr>
            <w:r>
              <w:rPr>
                <w:rFonts w:hint="eastAsia" w:ascii="方正仿宋_GBK" w:hAnsi="方正仿宋_GBK" w:eastAsia="方正仿宋_GBK" w:cs="方正仿宋_GBK"/>
                <w:color w:val="000000"/>
                <w:kern w:val="0"/>
                <w:sz w:val="24"/>
                <w:szCs w:val="24"/>
                <w:highlight w:val="none"/>
                <w:lang w:val="en-US" w:eastAsia="zh-CN" w:bidi="ar-SA"/>
              </w:rPr>
              <w:t>7.DDD值</w:t>
            </w:r>
          </w:p>
          <w:p w14:paraId="22013EC7">
            <w:pPr>
              <w:widowControl/>
              <w:spacing w:line="240" w:lineRule="auto"/>
              <w:ind w:firstLine="0" w:firstLineChars="0"/>
              <w:jc w:val="left"/>
              <w:rPr>
                <w:rFonts w:hint="eastAsia" w:ascii="方正仿宋_GBK" w:hAnsi="方正仿宋_GBK" w:eastAsia="方正仿宋_GBK" w:cs="方正仿宋_GBK"/>
                <w:color w:val="000000"/>
                <w:kern w:val="0"/>
                <w:sz w:val="24"/>
                <w:szCs w:val="24"/>
                <w:highlight w:val="none"/>
                <w:lang w:val="en-US" w:eastAsia="zh-CN" w:bidi="ar-SA"/>
              </w:rPr>
            </w:pPr>
            <w:r>
              <w:rPr>
                <w:rFonts w:hint="eastAsia" w:ascii="方正仿宋_GBK" w:hAnsi="方正仿宋_GBK" w:eastAsia="方正仿宋_GBK" w:cs="方正仿宋_GBK"/>
                <w:color w:val="000000"/>
                <w:kern w:val="0"/>
                <w:sz w:val="24"/>
                <w:szCs w:val="24"/>
                <w:highlight w:val="none"/>
                <w:lang w:val="en-US" w:eastAsia="zh-CN" w:bidi="ar-SA"/>
              </w:rPr>
              <w:t>8.检验值</w:t>
            </w:r>
          </w:p>
          <w:p w14:paraId="5DEA2C07">
            <w:pPr>
              <w:widowControl/>
              <w:spacing w:line="240" w:lineRule="auto"/>
              <w:ind w:firstLine="0" w:firstLineChars="0"/>
              <w:jc w:val="left"/>
              <w:rPr>
                <w:rFonts w:hint="eastAsia" w:ascii="方正仿宋_GBK" w:hAnsi="方正仿宋_GBK" w:eastAsia="方正仿宋_GBK" w:cs="方正仿宋_GBK"/>
                <w:color w:val="000000"/>
                <w:kern w:val="0"/>
                <w:sz w:val="24"/>
                <w:szCs w:val="24"/>
                <w:highlight w:val="none"/>
                <w:lang w:val="en-US" w:eastAsia="zh-CN" w:bidi="ar-SA"/>
              </w:rPr>
            </w:pPr>
            <w:r>
              <w:rPr>
                <w:rFonts w:hint="eastAsia" w:ascii="方正仿宋_GBK" w:hAnsi="方正仿宋_GBK" w:eastAsia="方正仿宋_GBK" w:cs="方正仿宋_GBK"/>
                <w:color w:val="000000"/>
                <w:kern w:val="0"/>
                <w:sz w:val="24"/>
                <w:szCs w:val="24"/>
                <w:highlight w:val="none"/>
                <w:lang w:val="en-US" w:eastAsia="zh-CN" w:bidi="ar-SA"/>
              </w:rPr>
              <w:t>9.药品基本信息</w:t>
            </w:r>
          </w:p>
          <w:p w14:paraId="05D2F93F">
            <w:pPr>
              <w:widowControl/>
              <w:spacing w:line="240" w:lineRule="auto"/>
              <w:ind w:firstLine="0" w:firstLineChars="0"/>
              <w:jc w:val="left"/>
              <w:rPr>
                <w:rFonts w:hint="eastAsia" w:ascii="方正仿宋_GBK" w:hAnsi="方正仿宋_GBK" w:eastAsia="方正仿宋_GBK" w:cs="方正仿宋_GBK"/>
                <w:color w:val="000000"/>
                <w:kern w:val="0"/>
                <w:sz w:val="24"/>
                <w:szCs w:val="24"/>
                <w:highlight w:val="none"/>
                <w:lang w:val="en-US" w:eastAsia="zh-CN" w:bidi="ar-SA"/>
              </w:rPr>
            </w:pPr>
            <w:r>
              <w:rPr>
                <w:rFonts w:hint="eastAsia" w:ascii="方正仿宋_GBK" w:hAnsi="方正仿宋_GBK" w:eastAsia="方正仿宋_GBK" w:cs="方正仿宋_GBK"/>
                <w:color w:val="000000"/>
                <w:kern w:val="0"/>
                <w:sz w:val="24"/>
                <w:szCs w:val="24"/>
                <w:highlight w:val="none"/>
                <w:lang w:val="en-US" w:eastAsia="zh-CN" w:bidi="ar-SA"/>
              </w:rPr>
              <w:t>10.临床路径</w:t>
            </w:r>
          </w:p>
          <w:p w14:paraId="11B23213">
            <w:pPr>
              <w:widowControl/>
              <w:spacing w:line="240" w:lineRule="auto"/>
              <w:ind w:firstLine="0" w:firstLineChars="0"/>
              <w:jc w:val="left"/>
              <w:rPr>
                <w:rFonts w:hint="eastAsia" w:ascii="方正仿宋_GBK" w:hAnsi="方正仿宋_GBK" w:eastAsia="方正仿宋_GBK" w:cs="方正仿宋_GBK"/>
                <w:color w:val="000000"/>
                <w:kern w:val="0"/>
                <w:sz w:val="24"/>
                <w:szCs w:val="24"/>
                <w:highlight w:val="none"/>
                <w:lang w:val="en-US" w:eastAsia="zh-CN" w:bidi="ar-SA"/>
              </w:rPr>
            </w:pPr>
            <w:r>
              <w:rPr>
                <w:rFonts w:hint="eastAsia" w:ascii="方正仿宋_GBK" w:hAnsi="方正仿宋_GBK" w:eastAsia="方正仿宋_GBK" w:cs="方正仿宋_GBK"/>
                <w:color w:val="000000"/>
                <w:kern w:val="0"/>
                <w:sz w:val="24"/>
                <w:szCs w:val="24"/>
                <w:highlight w:val="none"/>
                <w:lang w:val="en-US" w:eastAsia="zh-CN" w:bidi="ar-SA"/>
              </w:rPr>
              <w:t>11.医药公式</w:t>
            </w:r>
          </w:p>
          <w:p w14:paraId="56D346E7">
            <w:pPr>
              <w:widowControl/>
              <w:spacing w:line="240" w:lineRule="auto"/>
              <w:ind w:firstLine="0" w:firstLineChars="0"/>
              <w:jc w:val="left"/>
              <w:rPr>
                <w:rFonts w:hint="eastAsia" w:ascii="方正仿宋_GBK" w:hAnsi="方正仿宋_GBK" w:eastAsia="方正仿宋_GBK" w:cs="方正仿宋_GBK"/>
                <w:color w:val="000000"/>
                <w:kern w:val="0"/>
                <w:sz w:val="24"/>
                <w:szCs w:val="24"/>
                <w:highlight w:val="none"/>
                <w:lang w:val="en-US" w:eastAsia="zh-CN" w:bidi="ar-SA"/>
              </w:rPr>
            </w:pPr>
            <w:r>
              <w:rPr>
                <w:rFonts w:hint="eastAsia" w:ascii="方正仿宋_GBK" w:hAnsi="方正仿宋_GBK" w:eastAsia="方正仿宋_GBK" w:cs="方正仿宋_GBK"/>
                <w:color w:val="000000"/>
                <w:kern w:val="0"/>
                <w:sz w:val="24"/>
                <w:szCs w:val="24"/>
                <w:highlight w:val="none"/>
                <w:lang w:val="en-US" w:eastAsia="zh-CN" w:bidi="ar-SA"/>
              </w:rPr>
              <w:t>12.医药时讯</w:t>
            </w:r>
          </w:p>
          <w:p w14:paraId="7C446A8F">
            <w:pPr>
              <w:widowControl/>
              <w:spacing w:line="240" w:lineRule="auto"/>
              <w:ind w:firstLine="0" w:firstLineChars="0"/>
              <w:jc w:val="left"/>
              <w:rPr>
                <w:rFonts w:hint="eastAsia" w:ascii="方正仿宋_GBK" w:hAnsi="方正仿宋_GBK" w:eastAsia="方正仿宋_GBK" w:cs="方正仿宋_GBK"/>
                <w:color w:val="000000"/>
                <w:kern w:val="0"/>
                <w:sz w:val="24"/>
                <w:szCs w:val="24"/>
                <w:highlight w:val="none"/>
                <w:lang w:val="en-US" w:eastAsia="zh-CN" w:bidi="ar-SA"/>
              </w:rPr>
            </w:pPr>
            <w:r>
              <w:rPr>
                <w:rFonts w:hint="eastAsia" w:ascii="方正仿宋_GBK" w:hAnsi="方正仿宋_GBK" w:eastAsia="方正仿宋_GBK" w:cs="方正仿宋_GBK"/>
                <w:color w:val="000000"/>
                <w:kern w:val="0"/>
                <w:sz w:val="24"/>
                <w:szCs w:val="24"/>
                <w:highlight w:val="none"/>
                <w:lang w:val="en-US" w:eastAsia="zh-CN" w:bidi="ar-SA"/>
              </w:rPr>
              <w:t>13.医药法规</w:t>
            </w:r>
          </w:p>
          <w:p w14:paraId="4040FCB9">
            <w:pPr>
              <w:widowControl/>
              <w:spacing w:line="240" w:lineRule="auto"/>
              <w:ind w:firstLine="0" w:firstLineChars="0"/>
              <w:jc w:val="left"/>
              <w:rPr>
                <w:rFonts w:hint="eastAsia" w:ascii="方正仿宋_GBK" w:hAnsi="方正仿宋_GBK" w:eastAsia="方正仿宋_GBK" w:cs="方正仿宋_GBK"/>
                <w:color w:val="000000"/>
                <w:kern w:val="0"/>
                <w:sz w:val="24"/>
                <w:szCs w:val="24"/>
                <w:highlight w:val="none"/>
                <w:lang w:val="en-US" w:eastAsia="zh-CN" w:bidi="ar-SA"/>
              </w:rPr>
            </w:pPr>
            <w:r>
              <w:rPr>
                <w:rFonts w:hint="eastAsia" w:ascii="方正仿宋_GBK" w:hAnsi="方正仿宋_GBK" w:eastAsia="方正仿宋_GBK" w:cs="方正仿宋_GBK"/>
                <w:color w:val="000000"/>
                <w:kern w:val="0"/>
                <w:sz w:val="24"/>
                <w:szCs w:val="24"/>
                <w:highlight w:val="none"/>
                <w:lang w:val="en-US" w:eastAsia="zh-CN" w:bidi="ar-SA"/>
              </w:rPr>
              <w:t>14.国家基本药物</w:t>
            </w:r>
          </w:p>
          <w:p w14:paraId="047F1DBB">
            <w:pPr>
              <w:widowControl/>
              <w:spacing w:line="240" w:lineRule="auto"/>
              <w:ind w:firstLine="0" w:firstLineChars="0"/>
              <w:jc w:val="left"/>
              <w:rPr>
                <w:rFonts w:hint="eastAsia" w:ascii="方正仿宋_GBK" w:hAnsi="方正仿宋_GBK" w:eastAsia="方正仿宋_GBK" w:cs="方正仿宋_GBK"/>
                <w:color w:val="000000"/>
                <w:kern w:val="0"/>
                <w:sz w:val="24"/>
                <w:szCs w:val="24"/>
                <w:highlight w:val="none"/>
                <w:lang w:val="en-US" w:eastAsia="zh-CN" w:bidi="ar-SA"/>
              </w:rPr>
            </w:pPr>
            <w:r>
              <w:rPr>
                <w:rFonts w:hint="eastAsia" w:ascii="方正仿宋_GBK" w:hAnsi="方正仿宋_GBK" w:eastAsia="方正仿宋_GBK" w:cs="方正仿宋_GBK"/>
                <w:color w:val="000000"/>
                <w:kern w:val="0"/>
                <w:sz w:val="24"/>
                <w:szCs w:val="24"/>
                <w:highlight w:val="none"/>
                <w:lang w:val="en-US" w:eastAsia="zh-CN" w:bidi="ar-SA"/>
              </w:rPr>
              <w:t>15.FDA妊娠用药安全性分级</w:t>
            </w:r>
          </w:p>
          <w:p w14:paraId="4DF3DD0F">
            <w:pPr>
              <w:widowControl/>
              <w:spacing w:line="240" w:lineRule="auto"/>
              <w:ind w:firstLine="0" w:firstLineChars="0"/>
              <w:jc w:val="left"/>
              <w:rPr>
                <w:rFonts w:hint="eastAsia" w:ascii="方正仿宋_GBK" w:hAnsi="方正仿宋_GBK" w:eastAsia="方正仿宋_GBK" w:cs="方正仿宋_GBK"/>
                <w:color w:val="000000"/>
                <w:kern w:val="0"/>
                <w:sz w:val="24"/>
                <w:szCs w:val="24"/>
                <w:highlight w:val="none"/>
                <w:lang w:val="en-US" w:eastAsia="zh-CN" w:bidi="ar-SA"/>
              </w:rPr>
            </w:pPr>
            <w:r>
              <w:rPr>
                <w:rFonts w:hint="eastAsia" w:ascii="方正仿宋_GBK" w:hAnsi="方正仿宋_GBK" w:eastAsia="方正仿宋_GBK" w:cs="方正仿宋_GBK"/>
                <w:color w:val="000000"/>
                <w:kern w:val="0"/>
                <w:sz w:val="24"/>
                <w:szCs w:val="24"/>
                <w:highlight w:val="none"/>
                <w:lang w:val="en-US" w:eastAsia="zh-CN" w:bidi="ar-SA"/>
              </w:rPr>
              <w:t>16.中医药</w:t>
            </w:r>
          </w:p>
          <w:p w14:paraId="49DF4D79">
            <w:pPr>
              <w:widowControl/>
              <w:spacing w:line="240" w:lineRule="auto"/>
              <w:ind w:firstLine="0" w:firstLineChars="0"/>
              <w:jc w:val="left"/>
              <w:rPr>
                <w:rFonts w:hint="eastAsia" w:ascii="方正仿宋_GBK" w:hAnsi="方正仿宋_GBK" w:eastAsia="方正仿宋_GBK" w:cs="方正仿宋_GBK"/>
                <w:color w:val="000000"/>
                <w:kern w:val="0"/>
                <w:sz w:val="24"/>
                <w:szCs w:val="24"/>
                <w:highlight w:val="none"/>
                <w:lang w:val="en-US" w:eastAsia="zh-CN" w:bidi="ar-SA"/>
              </w:rPr>
            </w:pPr>
            <w:r>
              <w:rPr>
                <w:rFonts w:hint="eastAsia" w:ascii="方正仿宋_GBK" w:hAnsi="方正仿宋_GBK" w:eastAsia="方正仿宋_GBK" w:cs="方正仿宋_GBK"/>
                <w:color w:val="000000"/>
                <w:kern w:val="0"/>
                <w:sz w:val="24"/>
                <w:szCs w:val="24"/>
                <w:highlight w:val="none"/>
                <w:lang w:val="en-US" w:eastAsia="zh-CN" w:bidi="ar-SA"/>
              </w:rPr>
              <w:t>17.药物相互作用审查</w:t>
            </w:r>
          </w:p>
          <w:p w14:paraId="21592AB3">
            <w:pPr>
              <w:widowControl/>
              <w:spacing w:line="240" w:lineRule="auto"/>
              <w:ind w:firstLine="0" w:firstLineChars="0"/>
              <w:jc w:val="left"/>
              <w:rPr>
                <w:rFonts w:hint="eastAsia" w:ascii="方正仿宋_GBK" w:hAnsi="方正仿宋_GBK" w:eastAsia="方正仿宋_GBK" w:cs="方正仿宋_GBK"/>
                <w:color w:val="000000"/>
                <w:kern w:val="0"/>
                <w:sz w:val="24"/>
                <w:szCs w:val="24"/>
                <w:highlight w:val="none"/>
                <w:lang w:val="en-US" w:eastAsia="zh-CN" w:bidi="ar-SA"/>
              </w:rPr>
            </w:pPr>
            <w:r>
              <w:rPr>
                <w:rFonts w:hint="eastAsia" w:ascii="方正仿宋_GBK" w:hAnsi="方正仿宋_GBK" w:eastAsia="方正仿宋_GBK" w:cs="方正仿宋_GBK"/>
                <w:color w:val="000000"/>
                <w:kern w:val="0"/>
                <w:sz w:val="24"/>
                <w:szCs w:val="24"/>
                <w:highlight w:val="none"/>
                <w:lang w:val="en-US" w:eastAsia="zh-CN" w:bidi="ar-SA"/>
              </w:rPr>
              <w:t>18.注射剂配伍审查</w:t>
            </w:r>
          </w:p>
          <w:p w14:paraId="59B533EE">
            <w:pPr>
              <w:widowControl/>
              <w:spacing w:line="240" w:lineRule="auto"/>
              <w:ind w:firstLine="0" w:firstLineChars="0"/>
              <w:jc w:val="left"/>
              <w:rPr>
                <w:rFonts w:hint="eastAsia" w:ascii="方正仿宋_GBK" w:hAnsi="方正仿宋_GBK" w:eastAsia="方正仿宋_GBK" w:cs="方正仿宋_GBK"/>
                <w:color w:val="000000"/>
                <w:kern w:val="0"/>
                <w:sz w:val="24"/>
                <w:szCs w:val="24"/>
                <w:highlight w:val="none"/>
                <w:lang w:val="en-US" w:eastAsia="zh-CN" w:bidi="ar-SA"/>
              </w:rPr>
            </w:pPr>
            <w:r>
              <w:rPr>
                <w:rFonts w:hint="eastAsia" w:ascii="方正仿宋_GBK" w:hAnsi="方正仿宋_GBK" w:eastAsia="方正仿宋_GBK" w:cs="方正仿宋_GBK"/>
                <w:color w:val="000000"/>
                <w:kern w:val="0"/>
                <w:sz w:val="24"/>
                <w:szCs w:val="24"/>
                <w:highlight w:val="none"/>
                <w:lang w:val="en-US" w:eastAsia="zh-CN" w:bidi="ar-SA"/>
              </w:rPr>
              <w:t>19.其他功能</w:t>
            </w:r>
          </w:p>
        </w:tc>
      </w:tr>
      <w:tr w14:paraId="101B9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72" w:type="pct"/>
            <w:noWrap w:val="0"/>
            <w:vAlign w:val="center"/>
          </w:tcPr>
          <w:p w14:paraId="4505F4DE">
            <w:pPr>
              <w:widowControl/>
              <w:spacing w:line="240" w:lineRule="auto"/>
              <w:ind w:firstLine="0" w:firstLineChars="0"/>
              <w:jc w:val="center"/>
              <w:rPr>
                <w:rFonts w:hint="default" w:ascii="方正仿宋_GBK" w:hAnsi="方正仿宋_GBK" w:eastAsia="方正仿宋_GBK" w:cs="方正仿宋_GBK"/>
                <w:color w:val="000000"/>
                <w:kern w:val="0"/>
                <w:sz w:val="24"/>
                <w:szCs w:val="24"/>
                <w:highlight w:val="none"/>
                <w:lang w:val="en-US" w:eastAsia="zh-CN"/>
              </w:rPr>
            </w:pPr>
            <w:r>
              <w:rPr>
                <w:rFonts w:hint="eastAsia" w:ascii="方正仿宋_GBK" w:hAnsi="方正仿宋_GBK" w:eastAsia="方正仿宋_GBK" w:cs="方正仿宋_GBK"/>
                <w:color w:val="000000"/>
                <w:kern w:val="0"/>
                <w:sz w:val="24"/>
                <w:szCs w:val="24"/>
                <w:highlight w:val="none"/>
                <w:lang w:val="en-US" w:eastAsia="zh-CN"/>
              </w:rPr>
              <w:t>5</w:t>
            </w:r>
          </w:p>
        </w:tc>
        <w:tc>
          <w:tcPr>
            <w:tcW w:w="795" w:type="pct"/>
            <w:noWrap w:val="0"/>
            <w:vAlign w:val="center"/>
          </w:tcPr>
          <w:p w14:paraId="5E4E02CB">
            <w:pPr>
              <w:widowControl/>
              <w:spacing w:line="240" w:lineRule="auto"/>
              <w:ind w:firstLine="0" w:firstLineChars="0"/>
              <w:jc w:val="center"/>
              <w:rPr>
                <w:rFonts w:hint="eastAsia" w:ascii="方正仿宋_GBK" w:hAnsi="方正仿宋_GBK" w:eastAsia="方正仿宋_GBK" w:cs="方正仿宋_GBK"/>
                <w:color w:val="000000"/>
                <w:kern w:val="0"/>
                <w:sz w:val="24"/>
                <w:szCs w:val="24"/>
                <w:highlight w:val="none"/>
                <w:lang w:val="en-US" w:eastAsia="zh-CN"/>
              </w:rPr>
            </w:pPr>
            <w:r>
              <w:rPr>
                <w:rFonts w:hint="eastAsia" w:ascii="方正仿宋_GBK" w:hAnsi="方正仿宋_GBK" w:eastAsia="方正仿宋_GBK" w:cs="方正仿宋_GBK"/>
                <w:color w:val="000000"/>
                <w:kern w:val="0"/>
                <w:sz w:val="24"/>
                <w:szCs w:val="24"/>
                <w:highlight w:val="none"/>
                <w:lang w:val="en-US" w:eastAsia="zh-CN"/>
              </w:rPr>
              <w:t>接口</w:t>
            </w:r>
          </w:p>
        </w:tc>
        <w:tc>
          <w:tcPr>
            <w:tcW w:w="1093" w:type="pct"/>
            <w:noWrap w:val="0"/>
            <w:vAlign w:val="center"/>
          </w:tcPr>
          <w:p w14:paraId="2AF4D60F">
            <w:pPr>
              <w:widowControl/>
              <w:spacing w:line="240" w:lineRule="auto"/>
              <w:ind w:firstLine="0" w:firstLineChars="0"/>
              <w:jc w:val="center"/>
              <w:rPr>
                <w:rFonts w:hint="default"/>
                <w:color w:val="555555"/>
                <w:sz w:val="21"/>
                <w:szCs w:val="21"/>
                <w:highlight w:val="none"/>
                <w:lang w:val="en-US" w:eastAsia="zh-CN"/>
              </w:rPr>
            </w:pPr>
            <w:r>
              <w:rPr>
                <w:rFonts w:hint="eastAsia"/>
                <w:color w:val="555555"/>
                <w:sz w:val="21"/>
                <w:szCs w:val="21"/>
                <w:highlight w:val="none"/>
                <w:lang w:val="en-US" w:eastAsia="zh-CN"/>
              </w:rPr>
              <w:t>接口</w:t>
            </w:r>
          </w:p>
        </w:tc>
        <w:tc>
          <w:tcPr>
            <w:tcW w:w="2538" w:type="pct"/>
            <w:noWrap w:val="0"/>
            <w:vAlign w:val="center"/>
          </w:tcPr>
          <w:p w14:paraId="53854E3A">
            <w:pPr>
              <w:widowControl/>
              <w:spacing w:line="240" w:lineRule="auto"/>
              <w:ind w:firstLine="0" w:firstLineChars="0"/>
              <w:jc w:val="center"/>
              <w:rPr>
                <w:rFonts w:hint="default" w:ascii="方正仿宋_GBK" w:hAnsi="方正仿宋_GBK" w:eastAsia="方正仿宋_GBK" w:cs="方正仿宋_GBK"/>
                <w:color w:val="000000"/>
                <w:kern w:val="0"/>
                <w:sz w:val="24"/>
                <w:szCs w:val="24"/>
                <w:highlight w:val="none"/>
                <w:lang w:val="en-US" w:eastAsia="zh-CN" w:bidi="ar-SA"/>
              </w:rPr>
            </w:pPr>
            <w:r>
              <w:rPr>
                <w:rFonts w:hint="eastAsia" w:ascii="方正仿宋_GBK" w:hAnsi="方正仿宋_GBK" w:eastAsia="方正仿宋_GBK" w:cs="方正仿宋_GBK"/>
                <w:color w:val="000000"/>
                <w:kern w:val="0"/>
                <w:sz w:val="24"/>
                <w:szCs w:val="24"/>
                <w:highlight w:val="none"/>
                <w:lang w:val="en-US" w:eastAsia="zh-CN" w:bidi="ar-SA"/>
              </w:rPr>
              <w:t>包含与HIS系统的数据接口对接实施</w:t>
            </w:r>
          </w:p>
        </w:tc>
      </w:tr>
    </w:tbl>
    <w:p w14:paraId="1D0D470A">
      <w:pPr>
        <w:widowControl/>
        <w:spacing w:line="500" w:lineRule="exact"/>
        <w:jc w:val="left"/>
        <w:rPr>
          <w:rFonts w:hint="default" w:ascii="方正仿宋_GBK" w:hAnsi="方正仿宋_GBK" w:eastAsia="方正仿宋_GBK" w:cs="方正仿宋_GBK"/>
          <w:b/>
          <w:bCs/>
          <w:kern w:val="0"/>
          <w:sz w:val="30"/>
          <w:szCs w:val="30"/>
          <w:highlight w:val="none"/>
          <w:lang w:val="en-US" w:eastAsia="zh-CN" w:bidi="ar"/>
        </w:rPr>
      </w:pPr>
      <w:r>
        <w:rPr>
          <w:rFonts w:hint="eastAsia" w:ascii="方正仿宋_GBK" w:hAnsi="方正仿宋_GBK" w:eastAsia="方正仿宋_GBK" w:cs="方正仿宋_GBK"/>
          <w:b/>
          <w:bCs/>
          <w:kern w:val="0"/>
          <w:sz w:val="30"/>
          <w:szCs w:val="30"/>
          <w:highlight w:val="none"/>
          <w:lang w:val="en-US" w:eastAsia="zh-CN" w:bidi="ar"/>
        </w:rPr>
        <w:t>（三）详细功能参数</w:t>
      </w:r>
    </w:p>
    <w:p w14:paraId="0B9D7AFC">
      <w:pPr>
        <w:pStyle w:val="15"/>
        <w:ind w:firstLine="480" w:firstLineChars="200"/>
        <w:rPr>
          <w:rFonts w:hint="default" w:ascii="方正仿宋_GBK" w:hAnsi="方正仿宋_GBK" w:eastAsia="方正仿宋_GBK" w:cs="方正仿宋_GBK"/>
          <w:b w:val="0"/>
          <w:bCs w:val="0"/>
          <w:iCs w:val="0"/>
          <w:kern w:val="0"/>
          <w:sz w:val="24"/>
          <w:szCs w:val="24"/>
          <w:highlight w:val="none"/>
          <w:lang w:val="en-US" w:eastAsia="zh-CN" w:bidi="ar-SA"/>
        </w:rPr>
      </w:pPr>
      <w:r>
        <w:rPr>
          <w:rFonts w:hint="eastAsia" w:ascii="方正仿宋_GBK" w:hAnsi="方正仿宋_GBK" w:eastAsia="方正仿宋_GBK" w:cs="方正仿宋_GBK"/>
          <w:b w:val="0"/>
          <w:bCs w:val="0"/>
          <w:iCs w:val="0"/>
          <w:kern w:val="0"/>
          <w:sz w:val="24"/>
          <w:szCs w:val="24"/>
          <w:highlight w:val="none"/>
          <w:lang w:val="en-US" w:eastAsia="zh-CN" w:bidi="ar-SA"/>
        </w:rPr>
        <w:t>见附件。</w:t>
      </w:r>
    </w:p>
    <w:p w14:paraId="652920CD">
      <w:pPr>
        <w:spacing w:line="400" w:lineRule="exact"/>
        <w:ind w:firstLine="600" w:firstLineChars="200"/>
        <w:outlineLvl w:val="2"/>
        <w:rPr>
          <w:rFonts w:ascii="方正黑体_GBK" w:hAnsi="方正黑体_GBK" w:eastAsia="方正黑体_GBK" w:cs="方正黑体_GBK"/>
          <w:kern w:val="0"/>
          <w:sz w:val="30"/>
          <w:szCs w:val="30"/>
          <w:highlight w:val="none"/>
          <w:lang w:bidi="ar"/>
        </w:rPr>
      </w:pPr>
      <w:r>
        <w:rPr>
          <w:rFonts w:hint="eastAsia" w:ascii="方正黑体_GBK" w:hAnsi="方正黑体_GBK" w:eastAsia="方正黑体_GBK" w:cs="方正黑体_GBK"/>
          <w:kern w:val="0"/>
          <w:sz w:val="30"/>
          <w:szCs w:val="30"/>
          <w:highlight w:val="none"/>
          <w:lang w:bidi="ar"/>
        </w:rPr>
        <w:t>七、商务要求</w:t>
      </w:r>
    </w:p>
    <w:p w14:paraId="10A9A78E">
      <w:pPr>
        <w:spacing w:line="500" w:lineRule="exact"/>
        <w:rPr>
          <w:rFonts w:hint="eastAsia" w:ascii="方正仿宋_GBK" w:hAnsi="方正仿宋_GBK" w:eastAsia="方正仿宋_GBK" w:cs="方正仿宋_GBK"/>
          <w:b/>
          <w:bCs/>
          <w:kern w:val="0"/>
          <w:sz w:val="30"/>
          <w:szCs w:val="30"/>
          <w:highlight w:val="none"/>
          <w:lang w:bidi="ar"/>
        </w:rPr>
      </w:pPr>
      <w:r>
        <w:rPr>
          <w:rFonts w:hint="eastAsia" w:ascii="方正仿宋_GBK" w:hAnsi="方正仿宋_GBK" w:eastAsia="方正仿宋_GBK" w:cs="方正仿宋_GBK"/>
          <w:b/>
          <w:bCs/>
          <w:kern w:val="0"/>
          <w:sz w:val="30"/>
          <w:szCs w:val="30"/>
          <w:highlight w:val="none"/>
          <w:lang w:bidi="ar"/>
        </w:rPr>
        <w:t>（一）</w:t>
      </w:r>
      <w:r>
        <w:rPr>
          <w:rFonts w:hint="eastAsia" w:ascii="方正仿宋_GBK" w:hAnsi="方正仿宋_GBK" w:eastAsia="方正仿宋_GBK" w:cs="方正仿宋_GBK"/>
          <w:b/>
          <w:bCs/>
          <w:kern w:val="0"/>
          <w:sz w:val="30"/>
          <w:szCs w:val="30"/>
          <w:highlight w:val="none"/>
          <w:lang w:val="en-US" w:eastAsia="zh-CN" w:bidi="ar"/>
        </w:rPr>
        <w:t>服务期</w:t>
      </w:r>
      <w:r>
        <w:rPr>
          <w:rFonts w:hint="eastAsia" w:ascii="方正仿宋_GBK" w:hAnsi="方正仿宋_GBK" w:eastAsia="方正仿宋_GBK" w:cs="方正仿宋_GBK"/>
          <w:b/>
          <w:bCs/>
          <w:kern w:val="0"/>
          <w:sz w:val="30"/>
          <w:szCs w:val="30"/>
          <w:highlight w:val="none"/>
          <w:lang w:bidi="ar"/>
        </w:rPr>
        <w:t>及</w:t>
      </w:r>
      <w:r>
        <w:rPr>
          <w:rFonts w:hint="eastAsia" w:ascii="方正仿宋_GBK" w:hAnsi="方正仿宋_GBK" w:eastAsia="方正仿宋_GBK" w:cs="方正仿宋_GBK"/>
          <w:b/>
          <w:bCs/>
          <w:kern w:val="0"/>
          <w:sz w:val="30"/>
          <w:szCs w:val="30"/>
          <w:highlight w:val="none"/>
          <w:lang w:val="en-US" w:eastAsia="zh-CN" w:bidi="ar"/>
        </w:rPr>
        <w:t>服务</w:t>
      </w:r>
      <w:r>
        <w:rPr>
          <w:rFonts w:hint="eastAsia" w:ascii="方正仿宋_GBK" w:hAnsi="方正仿宋_GBK" w:eastAsia="方正仿宋_GBK" w:cs="方正仿宋_GBK"/>
          <w:b/>
          <w:bCs/>
          <w:kern w:val="0"/>
          <w:sz w:val="30"/>
          <w:szCs w:val="30"/>
          <w:highlight w:val="none"/>
          <w:lang w:bidi="ar"/>
        </w:rPr>
        <w:t>地点</w:t>
      </w:r>
      <w:bookmarkStart w:id="4" w:name="_GoBack"/>
      <w:bookmarkEnd w:id="4"/>
    </w:p>
    <w:p w14:paraId="646E342F">
      <w:pPr>
        <w:snapToGrid w:val="0"/>
        <w:spacing w:line="400" w:lineRule="exact"/>
        <w:ind w:firstLine="560" w:firstLineChars="200"/>
        <w:outlineLvl w:val="2"/>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lang w:val="en-US" w:eastAsia="zh-CN"/>
        </w:rPr>
        <w:t>1</w:t>
      </w:r>
      <w:r>
        <w:rPr>
          <w:rFonts w:hint="eastAsia" w:ascii="方正仿宋_GBK" w:hAnsi="方正仿宋_GBK" w:eastAsia="方正仿宋_GBK" w:cs="方正仿宋_GBK"/>
          <w:kern w:val="0"/>
          <w:sz w:val="28"/>
          <w:szCs w:val="28"/>
          <w:highlight w:val="none"/>
        </w:rPr>
        <w:t>.乙方应在采购合同签订后</w:t>
      </w:r>
      <w:r>
        <w:rPr>
          <w:rFonts w:hint="eastAsia" w:ascii="方正仿宋_GBK" w:hAnsi="方正仿宋_GBK" w:eastAsia="方正仿宋_GBK" w:cs="方正仿宋_GBK"/>
          <w:kern w:val="0"/>
          <w:sz w:val="28"/>
          <w:szCs w:val="28"/>
          <w:highlight w:val="none"/>
          <w:lang w:val="en-US" w:eastAsia="zh-CN"/>
        </w:rPr>
        <w:t>30</w:t>
      </w:r>
      <w:r>
        <w:rPr>
          <w:rFonts w:hint="eastAsia" w:ascii="方正仿宋_GBK" w:hAnsi="方正仿宋_GBK" w:eastAsia="方正仿宋_GBK" w:cs="方正仿宋_GBK"/>
          <w:kern w:val="0"/>
          <w:sz w:val="28"/>
          <w:szCs w:val="28"/>
          <w:highlight w:val="none"/>
        </w:rPr>
        <w:t>个日历日内完成项目整体</w:t>
      </w:r>
      <w:r>
        <w:rPr>
          <w:rFonts w:hint="eastAsia" w:ascii="方正仿宋_GBK" w:hAnsi="方正仿宋_GBK" w:eastAsia="方正仿宋_GBK" w:cs="方正仿宋_GBK"/>
          <w:kern w:val="0"/>
          <w:sz w:val="28"/>
          <w:szCs w:val="28"/>
          <w:highlight w:val="none"/>
          <w:lang w:eastAsia="zh-CN"/>
        </w:rPr>
        <w:t>建设</w:t>
      </w:r>
      <w:r>
        <w:rPr>
          <w:rFonts w:hint="eastAsia" w:ascii="方正仿宋_GBK" w:hAnsi="方正仿宋_GBK" w:eastAsia="方正仿宋_GBK" w:cs="方正仿宋_GBK"/>
          <w:kern w:val="0"/>
          <w:sz w:val="28"/>
          <w:szCs w:val="28"/>
          <w:highlight w:val="none"/>
          <w:lang w:val="en-US" w:eastAsia="zh-CN"/>
        </w:rPr>
        <w:t>实施和系统上线</w:t>
      </w:r>
      <w:r>
        <w:rPr>
          <w:rFonts w:hint="eastAsia" w:ascii="方正仿宋_GBK" w:hAnsi="方正仿宋_GBK" w:eastAsia="方正仿宋_GBK" w:cs="方正仿宋_GBK"/>
          <w:kern w:val="0"/>
          <w:sz w:val="28"/>
          <w:szCs w:val="28"/>
          <w:highlight w:val="none"/>
        </w:rPr>
        <w:t>。</w:t>
      </w:r>
    </w:p>
    <w:p w14:paraId="0E4A426D">
      <w:pPr>
        <w:snapToGrid w:val="0"/>
        <w:spacing w:line="400" w:lineRule="exact"/>
        <w:ind w:firstLine="560" w:firstLineChars="200"/>
        <w:outlineLvl w:val="2"/>
        <w:rPr>
          <w:rFonts w:hint="default" w:eastAsia="方正仿宋_GBK"/>
          <w:highlight w:val="none"/>
          <w:lang w:val="en-US" w:eastAsia="zh-CN"/>
        </w:rPr>
      </w:pPr>
      <w:r>
        <w:rPr>
          <w:rFonts w:hint="eastAsia" w:ascii="方正仿宋_GBK" w:hAnsi="方正仿宋_GBK" w:eastAsia="方正仿宋_GBK" w:cs="方正仿宋_GBK"/>
          <w:kern w:val="0"/>
          <w:sz w:val="28"/>
          <w:szCs w:val="28"/>
          <w:highlight w:val="none"/>
          <w:lang w:val="en-US" w:eastAsia="zh-CN"/>
        </w:rPr>
        <w:t>2.服务地点：重庆医科大学附属康复医院</w:t>
      </w:r>
    </w:p>
    <w:p w14:paraId="23D56676">
      <w:pPr>
        <w:spacing w:line="500" w:lineRule="exact"/>
        <w:rPr>
          <w:rFonts w:hint="default" w:ascii="方正仿宋_GBK" w:hAnsi="方正仿宋_GBK" w:eastAsia="方正仿宋_GBK" w:cs="方正仿宋_GBK"/>
          <w:b/>
          <w:bCs/>
          <w:kern w:val="0"/>
          <w:sz w:val="30"/>
          <w:szCs w:val="30"/>
          <w:highlight w:val="none"/>
          <w:lang w:val="en-US" w:eastAsia="zh-CN" w:bidi="ar"/>
        </w:rPr>
      </w:pPr>
      <w:r>
        <w:rPr>
          <w:rFonts w:hint="eastAsia" w:ascii="方正仿宋_GBK" w:hAnsi="方正仿宋_GBK" w:eastAsia="方正仿宋_GBK" w:cs="方正仿宋_GBK"/>
          <w:b/>
          <w:bCs/>
          <w:kern w:val="0"/>
          <w:sz w:val="30"/>
          <w:szCs w:val="30"/>
          <w:highlight w:val="none"/>
          <w:lang w:bidi="ar"/>
        </w:rPr>
        <w:t>（二）</w:t>
      </w:r>
      <w:r>
        <w:rPr>
          <w:rFonts w:hint="eastAsia" w:ascii="方正仿宋_GBK" w:hAnsi="方正仿宋_GBK" w:eastAsia="方正仿宋_GBK" w:cs="方正仿宋_GBK"/>
          <w:b/>
          <w:bCs/>
          <w:kern w:val="0"/>
          <w:sz w:val="30"/>
          <w:szCs w:val="30"/>
          <w:highlight w:val="none"/>
          <w:lang w:val="en-US" w:eastAsia="zh-CN" w:bidi="ar"/>
        </w:rPr>
        <w:t>报价要求</w:t>
      </w:r>
    </w:p>
    <w:p w14:paraId="4D31278B">
      <w:pPr>
        <w:spacing w:line="500" w:lineRule="exact"/>
        <w:ind w:firstLine="560" w:firstLineChars="200"/>
        <w:rPr>
          <w:highlight w:val="none"/>
        </w:rPr>
      </w:pPr>
      <w:r>
        <w:rPr>
          <w:rFonts w:hint="eastAsia" w:ascii="方正仿宋_GBK" w:hAnsi="方正仿宋_GBK" w:eastAsia="方正仿宋_GBK" w:cs="方正仿宋_GBK"/>
          <w:kern w:val="0"/>
          <w:sz w:val="28"/>
          <w:szCs w:val="28"/>
          <w:highlight w:val="none"/>
          <w:lang w:bidi="ar"/>
        </w:rPr>
        <w:t>本次报价须为人民币报价，包含：</w:t>
      </w:r>
      <w:r>
        <w:rPr>
          <w:rFonts w:hint="eastAsia" w:ascii="方正仿宋_GBK" w:hAnsi="方正仿宋_GBK" w:eastAsia="方正仿宋_GBK" w:cs="方正仿宋_GBK"/>
          <w:kern w:val="0"/>
          <w:sz w:val="28"/>
          <w:szCs w:val="28"/>
          <w:highlight w:val="none"/>
          <w:lang w:val="en-US" w:eastAsia="zh-CN" w:bidi="ar"/>
        </w:rPr>
        <w:t>系统实施</w:t>
      </w:r>
      <w:r>
        <w:rPr>
          <w:rFonts w:hint="eastAsia" w:ascii="方正仿宋_GBK" w:hAnsi="方正仿宋_GBK" w:eastAsia="方正仿宋_GBK" w:cs="方正仿宋_GBK"/>
          <w:kern w:val="0"/>
          <w:sz w:val="28"/>
          <w:szCs w:val="28"/>
          <w:highlight w:val="none"/>
          <w:lang w:bidi="ar"/>
        </w:rPr>
        <w:t>部署、</w:t>
      </w:r>
      <w:r>
        <w:rPr>
          <w:rFonts w:hint="eastAsia" w:ascii="方正仿宋_GBK" w:hAnsi="方正仿宋_GBK" w:eastAsia="方正仿宋_GBK" w:cs="方正仿宋_GBK"/>
          <w:kern w:val="0"/>
          <w:sz w:val="28"/>
          <w:szCs w:val="28"/>
          <w:highlight w:val="none"/>
          <w:lang w:val="en-US" w:eastAsia="zh-CN" w:bidi="ar"/>
        </w:rPr>
        <w:t>接口对接</w:t>
      </w:r>
      <w:r>
        <w:rPr>
          <w:rFonts w:hint="eastAsia" w:ascii="方正仿宋_GBK" w:hAnsi="方正仿宋_GBK" w:eastAsia="方正仿宋_GBK" w:cs="方正仿宋_GBK"/>
          <w:kern w:val="0"/>
          <w:sz w:val="28"/>
          <w:szCs w:val="28"/>
          <w:highlight w:val="none"/>
          <w:lang w:val="en-US" w:eastAsia="zh-CN" w:bidi="ar"/>
        </w:rPr>
        <w:t>、</w:t>
      </w:r>
      <w:r>
        <w:rPr>
          <w:rFonts w:hint="eastAsia" w:ascii="方正仿宋_GBK" w:hAnsi="方正仿宋_GBK" w:eastAsia="方正仿宋_GBK" w:cs="方正仿宋_GBK"/>
          <w:kern w:val="0"/>
          <w:sz w:val="28"/>
          <w:szCs w:val="28"/>
          <w:highlight w:val="none"/>
          <w:lang w:bidi="ar"/>
        </w:rPr>
        <w:t>培训和售后服务项目建设各阶段费用</w:t>
      </w:r>
      <w:r>
        <w:rPr>
          <w:rFonts w:hint="eastAsia" w:ascii="方正仿宋_GBK" w:hAnsi="方正仿宋_GBK" w:eastAsia="方正仿宋_GBK" w:cs="方正仿宋_GBK"/>
          <w:kern w:val="0"/>
          <w:sz w:val="28"/>
          <w:szCs w:val="28"/>
          <w:highlight w:val="none"/>
          <w:lang w:eastAsia="zh-CN" w:bidi="ar"/>
        </w:rPr>
        <w:t>。</w:t>
      </w:r>
    </w:p>
    <w:p w14:paraId="2AE0F6D0">
      <w:pPr>
        <w:spacing w:line="500" w:lineRule="exact"/>
        <w:rPr>
          <w:rFonts w:hint="eastAsia" w:ascii="方正仿宋_GBK" w:hAnsi="方正仿宋_GBK" w:eastAsia="方正仿宋_GBK" w:cs="方正仿宋_GBK"/>
          <w:b/>
          <w:bCs/>
          <w:kern w:val="0"/>
          <w:sz w:val="30"/>
          <w:szCs w:val="30"/>
          <w:highlight w:val="none"/>
          <w:lang w:bidi="ar"/>
        </w:rPr>
      </w:pPr>
      <w:r>
        <w:rPr>
          <w:rFonts w:hint="eastAsia" w:ascii="方正仿宋_GBK" w:hAnsi="方正仿宋_GBK" w:eastAsia="方正仿宋_GBK" w:cs="方正仿宋_GBK"/>
          <w:b/>
          <w:bCs/>
          <w:kern w:val="0"/>
          <w:sz w:val="30"/>
          <w:szCs w:val="30"/>
          <w:highlight w:val="none"/>
          <w:lang w:bidi="ar"/>
        </w:rPr>
        <w:t>（三）付款方式</w:t>
      </w:r>
    </w:p>
    <w:p w14:paraId="6787CA75">
      <w:pPr>
        <w:snapToGrid w:val="0"/>
        <w:spacing w:line="400" w:lineRule="exact"/>
        <w:ind w:firstLine="560" w:firstLineChars="200"/>
        <w:outlineLvl w:val="2"/>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1.本合同范围为交钥匙项目，包含所供设备的安装所需水电费、包装费、运输费（含运输保险费）、上下车费（并卸货运至现场甲方指定地点）、调试费、检测费、包含进口商品的关税、质保期内的维护保养费用、对甲方有关人员的培训费、各种保险和税金、服务费、以及乙方认为需要的其它费用；还包括但不限于现场协调、现场配合验收、因质量问题引起的维修和更换、技术指导和培训、政策性规定的费用、原材料涨价等合同明示或暗示的所有一切风险、责任和义务的费用等。如乙方投标文件中出现配置不完整而不能满足招标文件及设计要求情况，乙方应无条件补齐并保证所供设备的正常运行，其全部责任及费用均由乙方承担。</w:t>
      </w:r>
    </w:p>
    <w:p w14:paraId="5077C644">
      <w:pPr>
        <w:snapToGrid w:val="0"/>
        <w:spacing w:line="400" w:lineRule="exact"/>
        <w:ind w:firstLine="560" w:firstLineChars="200"/>
        <w:outlineLvl w:val="2"/>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2.付款</w:t>
      </w:r>
    </w:p>
    <w:p w14:paraId="00AB6ED1">
      <w:pPr>
        <w:snapToGrid w:val="0"/>
        <w:spacing w:line="400" w:lineRule="exact"/>
        <w:ind w:firstLine="560" w:firstLineChars="200"/>
        <w:outlineLvl w:val="2"/>
        <w:rPr>
          <w:rFonts w:hint="eastAsia" w:ascii="方正仿宋_GBK" w:hAnsi="方正仿宋_GBK" w:eastAsia="方正仿宋_GBK" w:cs="方正仿宋_GBK"/>
          <w:kern w:val="0"/>
          <w:sz w:val="28"/>
          <w:szCs w:val="28"/>
          <w:highlight w:val="none"/>
          <w:lang w:eastAsia="zh-CN"/>
        </w:rPr>
      </w:pPr>
      <w:r>
        <w:rPr>
          <w:rFonts w:hint="eastAsia" w:ascii="方正仿宋_GBK" w:hAnsi="方正仿宋_GBK" w:eastAsia="方正仿宋_GBK" w:cs="方正仿宋_GBK"/>
          <w:kern w:val="0"/>
          <w:sz w:val="28"/>
          <w:szCs w:val="28"/>
          <w:highlight w:val="none"/>
          <w:lang w:val="en-US" w:eastAsia="zh-CN"/>
        </w:rPr>
        <w:t>（1）甲乙双方合同签订后</w:t>
      </w:r>
      <w:r>
        <w:rPr>
          <w:rFonts w:hint="eastAsia" w:ascii="方正仿宋_GBK" w:hAnsi="方正仿宋_GBK" w:eastAsia="方正仿宋_GBK" w:cs="方正仿宋_GBK"/>
          <w:kern w:val="0"/>
          <w:sz w:val="28"/>
          <w:szCs w:val="28"/>
          <w:highlight w:val="none"/>
        </w:rPr>
        <w:t>，</w:t>
      </w:r>
      <w:r>
        <w:rPr>
          <w:rFonts w:hint="eastAsia" w:ascii="方正仿宋_GBK" w:hAnsi="方正仿宋_GBK" w:eastAsia="方正仿宋_GBK" w:cs="方正仿宋_GBK"/>
          <w:kern w:val="0"/>
          <w:sz w:val="28"/>
          <w:szCs w:val="28"/>
          <w:highlight w:val="none"/>
          <w:lang w:val="en-US" w:eastAsia="zh-CN"/>
        </w:rPr>
        <w:t>项目通过系统上线前验收，</w:t>
      </w:r>
      <w:r>
        <w:rPr>
          <w:rFonts w:hint="eastAsia" w:ascii="方正仿宋_GBK" w:hAnsi="方正仿宋_GBK" w:eastAsia="方正仿宋_GBK" w:cs="方正仿宋_GBK"/>
          <w:kern w:val="0"/>
          <w:sz w:val="28"/>
          <w:szCs w:val="28"/>
          <w:highlight w:val="none"/>
        </w:rPr>
        <w:t>乙方向甲方提交发票等相关资料</w:t>
      </w:r>
      <w:r>
        <w:rPr>
          <w:rFonts w:hint="eastAsia" w:ascii="方正仿宋_GBK" w:hAnsi="方正仿宋_GBK" w:eastAsia="方正仿宋_GBK" w:cs="方正仿宋_GBK"/>
          <w:kern w:val="0"/>
          <w:sz w:val="28"/>
          <w:szCs w:val="28"/>
          <w:highlight w:val="none"/>
          <w:lang w:eastAsia="zh-CN"/>
        </w:rPr>
        <w:t>，</w:t>
      </w:r>
      <w:r>
        <w:rPr>
          <w:rFonts w:hint="eastAsia" w:ascii="方正仿宋_GBK" w:hAnsi="方正仿宋_GBK" w:eastAsia="方正仿宋_GBK" w:cs="方正仿宋_GBK"/>
          <w:kern w:val="0"/>
          <w:sz w:val="28"/>
          <w:szCs w:val="28"/>
          <w:highlight w:val="none"/>
          <w:lang w:val="en-US" w:eastAsia="zh-CN"/>
        </w:rPr>
        <w:t>甲方</w:t>
      </w:r>
      <w:r>
        <w:rPr>
          <w:rFonts w:hint="eastAsia" w:ascii="方正仿宋_GBK" w:hAnsi="方正仿宋_GBK" w:eastAsia="方正仿宋_GBK" w:cs="方正仿宋_GBK"/>
          <w:kern w:val="0"/>
          <w:sz w:val="28"/>
          <w:szCs w:val="28"/>
          <w:highlight w:val="none"/>
        </w:rPr>
        <w:t>在</w:t>
      </w:r>
      <w:r>
        <w:rPr>
          <w:rFonts w:hint="eastAsia" w:ascii="方正仿宋_GBK" w:hAnsi="方正仿宋_GBK" w:eastAsia="方正仿宋_GBK" w:cs="方正仿宋_GBK"/>
          <w:kern w:val="0"/>
          <w:sz w:val="28"/>
          <w:szCs w:val="28"/>
          <w:highlight w:val="none"/>
          <w:lang w:val="en-US" w:eastAsia="zh-CN"/>
        </w:rPr>
        <w:t>2</w:t>
      </w:r>
      <w:r>
        <w:rPr>
          <w:rFonts w:hint="eastAsia" w:ascii="方正仿宋_GBK" w:hAnsi="方正仿宋_GBK" w:eastAsia="方正仿宋_GBK" w:cs="方正仿宋_GBK"/>
          <w:kern w:val="0"/>
          <w:sz w:val="28"/>
          <w:szCs w:val="28"/>
          <w:highlight w:val="none"/>
        </w:rPr>
        <w:t>0个工作日内向</w:t>
      </w:r>
      <w:r>
        <w:rPr>
          <w:rFonts w:hint="eastAsia" w:ascii="方正仿宋_GBK" w:hAnsi="方正仿宋_GBK" w:eastAsia="方正仿宋_GBK" w:cs="方正仿宋_GBK"/>
          <w:kern w:val="0"/>
          <w:sz w:val="28"/>
          <w:szCs w:val="28"/>
          <w:highlight w:val="none"/>
          <w:lang w:val="en-US" w:eastAsia="zh-CN"/>
        </w:rPr>
        <w:t>乙方</w:t>
      </w:r>
      <w:r>
        <w:rPr>
          <w:rFonts w:hint="eastAsia" w:ascii="方正仿宋_GBK" w:hAnsi="方正仿宋_GBK" w:eastAsia="方正仿宋_GBK" w:cs="方正仿宋_GBK"/>
          <w:kern w:val="0"/>
          <w:sz w:val="28"/>
          <w:szCs w:val="28"/>
          <w:highlight w:val="none"/>
        </w:rPr>
        <w:t>支付合同金额</w:t>
      </w:r>
      <w:r>
        <w:rPr>
          <w:rFonts w:hint="eastAsia" w:ascii="方正仿宋_GBK" w:hAnsi="方正仿宋_GBK" w:eastAsia="方正仿宋_GBK" w:cs="方正仿宋_GBK"/>
          <w:kern w:val="0"/>
          <w:sz w:val="28"/>
          <w:szCs w:val="28"/>
          <w:highlight w:val="none"/>
          <w:lang w:val="en-US" w:eastAsia="zh-CN"/>
        </w:rPr>
        <w:t>50%的系统上线款</w:t>
      </w:r>
      <w:r>
        <w:rPr>
          <w:rFonts w:hint="eastAsia" w:ascii="方正仿宋_GBK" w:hAnsi="方正仿宋_GBK" w:eastAsia="方正仿宋_GBK" w:cs="方正仿宋_GBK"/>
          <w:kern w:val="0"/>
          <w:sz w:val="28"/>
          <w:szCs w:val="28"/>
          <w:highlight w:val="none"/>
        </w:rPr>
        <w:t>；</w:t>
      </w:r>
    </w:p>
    <w:p w14:paraId="1E5D8F94">
      <w:pPr>
        <w:snapToGrid w:val="0"/>
        <w:spacing w:line="400" w:lineRule="exact"/>
        <w:ind w:firstLine="560" w:firstLineChars="200"/>
        <w:outlineLvl w:val="2"/>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lang w:val="en-US" w:eastAsia="zh-CN"/>
        </w:rPr>
        <w:t>（2）项目通过服务期满验收后，</w:t>
      </w:r>
      <w:r>
        <w:rPr>
          <w:rFonts w:hint="eastAsia" w:ascii="方正仿宋_GBK" w:hAnsi="方正仿宋_GBK" w:eastAsia="方正仿宋_GBK" w:cs="方正仿宋_GBK"/>
          <w:kern w:val="0"/>
          <w:sz w:val="28"/>
          <w:szCs w:val="28"/>
          <w:highlight w:val="none"/>
        </w:rPr>
        <w:t>乙方向甲方提交发票等相关资料</w:t>
      </w:r>
      <w:r>
        <w:rPr>
          <w:rFonts w:hint="eastAsia" w:ascii="方正仿宋_GBK" w:hAnsi="方正仿宋_GBK" w:eastAsia="方正仿宋_GBK" w:cs="方正仿宋_GBK"/>
          <w:kern w:val="0"/>
          <w:sz w:val="28"/>
          <w:szCs w:val="28"/>
          <w:highlight w:val="none"/>
          <w:lang w:eastAsia="zh-CN"/>
        </w:rPr>
        <w:t>，</w:t>
      </w:r>
      <w:r>
        <w:rPr>
          <w:rFonts w:hint="eastAsia" w:ascii="方正仿宋_GBK" w:hAnsi="方正仿宋_GBK" w:eastAsia="方正仿宋_GBK" w:cs="方正仿宋_GBK"/>
          <w:kern w:val="0"/>
          <w:sz w:val="28"/>
          <w:szCs w:val="28"/>
          <w:highlight w:val="none"/>
          <w:lang w:val="en-US" w:eastAsia="zh-CN"/>
        </w:rPr>
        <w:t>甲方</w:t>
      </w:r>
      <w:r>
        <w:rPr>
          <w:rFonts w:hint="eastAsia" w:ascii="方正仿宋_GBK" w:hAnsi="方正仿宋_GBK" w:eastAsia="方正仿宋_GBK" w:cs="方正仿宋_GBK"/>
          <w:kern w:val="0"/>
          <w:sz w:val="28"/>
          <w:szCs w:val="28"/>
          <w:highlight w:val="none"/>
        </w:rPr>
        <w:t>在</w:t>
      </w:r>
      <w:r>
        <w:rPr>
          <w:rFonts w:hint="eastAsia" w:ascii="方正仿宋_GBK" w:hAnsi="方正仿宋_GBK" w:eastAsia="方正仿宋_GBK" w:cs="方正仿宋_GBK"/>
          <w:kern w:val="0"/>
          <w:sz w:val="28"/>
          <w:szCs w:val="28"/>
          <w:highlight w:val="none"/>
          <w:lang w:val="en-US" w:eastAsia="zh-CN"/>
        </w:rPr>
        <w:t>2</w:t>
      </w:r>
      <w:r>
        <w:rPr>
          <w:rFonts w:hint="eastAsia" w:ascii="方正仿宋_GBK" w:hAnsi="方正仿宋_GBK" w:eastAsia="方正仿宋_GBK" w:cs="方正仿宋_GBK"/>
          <w:kern w:val="0"/>
          <w:sz w:val="28"/>
          <w:szCs w:val="28"/>
          <w:highlight w:val="none"/>
        </w:rPr>
        <w:t>0个工作日内向</w:t>
      </w:r>
      <w:r>
        <w:rPr>
          <w:rFonts w:hint="eastAsia" w:ascii="方正仿宋_GBK" w:hAnsi="方正仿宋_GBK" w:eastAsia="方正仿宋_GBK" w:cs="方正仿宋_GBK"/>
          <w:kern w:val="0"/>
          <w:sz w:val="28"/>
          <w:szCs w:val="28"/>
          <w:highlight w:val="none"/>
          <w:lang w:val="en-US" w:eastAsia="zh-CN"/>
        </w:rPr>
        <w:t>乙方</w:t>
      </w:r>
      <w:r>
        <w:rPr>
          <w:rFonts w:hint="eastAsia" w:ascii="方正仿宋_GBK" w:hAnsi="方正仿宋_GBK" w:eastAsia="方正仿宋_GBK" w:cs="方正仿宋_GBK"/>
          <w:kern w:val="0"/>
          <w:sz w:val="28"/>
          <w:szCs w:val="28"/>
          <w:highlight w:val="none"/>
        </w:rPr>
        <w:t>支付合同金额</w:t>
      </w:r>
      <w:r>
        <w:rPr>
          <w:rFonts w:hint="eastAsia" w:ascii="方正仿宋_GBK" w:hAnsi="方正仿宋_GBK" w:eastAsia="方正仿宋_GBK" w:cs="方正仿宋_GBK"/>
          <w:kern w:val="0"/>
          <w:sz w:val="28"/>
          <w:szCs w:val="28"/>
          <w:highlight w:val="none"/>
          <w:lang w:val="en-US" w:eastAsia="zh-CN"/>
        </w:rPr>
        <w:t>50</w:t>
      </w:r>
      <w:r>
        <w:rPr>
          <w:rFonts w:hint="eastAsia" w:ascii="方正仿宋_GBK" w:hAnsi="方正仿宋_GBK" w:eastAsia="方正仿宋_GBK" w:cs="方正仿宋_GBK"/>
          <w:kern w:val="0"/>
          <w:sz w:val="28"/>
          <w:szCs w:val="28"/>
          <w:highlight w:val="none"/>
        </w:rPr>
        <w:t>%的合同尾款。</w:t>
      </w:r>
    </w:p>
    <w:p w14:paraId="62F116D3">
      <w:pPr>
        <w:snapToGrid w:val="0"/>
        <w:spacing w:line="400" w:lineRule="exact"/>
        <w:ind w:firstLine="560" w:firstLineChars="200"/>
        <w:outlineLvl w:val="2"/>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lang w:val="en-US" w:eastAsia="zh-CN"/>
        </w:rPr>
        <w:t>3</w:t>
      </w:r>
      <w:r>
        <w:rPr>
          <w:rFonts w:hint="eastAsia" w:ascii="方正仿宋_GBK" w:hAnsi="方正仿宋_GBK" w:eastAsia="方正仿宋_GBK" w:cs="方正仿宋_GBK"/>
          <w:kern w:val="0"/>
          <w:sz w:val="28"/>
          <w:szCs w:val="28"/>
          <w:highlight w:val="none"/>
        </w:rPr>
        <w:t>.款项支付通过双方开户银行进行，结算费用双方各自承担。申请付款资料包含：相应合同标的金额合法合规的票据、验收报告、履约保证金收据复印件等。乙方因不能及时提供合法合规的付款资料或提供虚假资料，甲方则有权拒绝支付款项，乙方并应承担相应法律责任。</w:t>
      </w:r>
    </w:p>
    <w:p w14:paraId="2C50FC95">
      <w:pPr>
        <w:snapToGrid w:val="0"/>
        <w:spacing w:line="400" w:lineRule="exact"/>
        <w:ind w:firstLine="560" w:firstLineChars="200"/>
        <w:outlineLvl w:val="2"/>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lang w:val="en-US" w:eastAsia="zh-CN"/>
        </w:rPr>
        <w:t>4</w:t>
      </w:r>
      <w:r>
        <w:rPr>
          <w:rFonts w:hint="eastAsia" w:ascii="方正仿宋_GBK" w:hAnsi="方正仿宋_GBK" w:eastAsia="方正仿宋_GBK" w:cs="方正仿宋_GBK"/>
          <w:kern w:val="0"/>
          <w:sz w:val="28"/>
          <w:szCs w:val="28"/>
          <w:highlight w:val="none"/>
        </w:rPr>
        <w:t>.本合同使用货币币制如未作特别说明均为人民币。</w:t>
      </w:r>
    </w:p>
    <w:p w14:paraId="55E9F5D0">
      <w:pPr>
        <w:spacing w:line="500" w:lineRule="exact"/>
        <w:rPr>
          <w:rFonts w:hint="eastAsia" w:ascii="方正仿宋_GBK" w:hAnsi="方正仿宋_GBK" w:eastAsia="方正仿宋_GBK" w:cs="方正仿宋_GBK"/>
          <w:b/>
          <w:bCs/>
          <w:kern w:val="0"/>
          <w:sz w:val="30"/>
          <w:szCs w:val="30"/>
          <w:highlight w:val="none"/>
          <w:lang w:bidi="ar"/>
        </w:rPr>
      </w:pPr>
      <w:r>
        <w:rPr>
          <w:rFonts w:hint="eastAsia" w:ascii="方正仿宋_GBK" w:hAnsi="方正仿宋_GBK" w:eastAsia="方正仿宋_GBK" w:cs="方正仿宋_GBK"/>
          <w:b/>
          <w:bCs/>
          <w:kern w:val="0"/>
          <w:sz w:val="30"/>
          <w:szCs w:val="30"/>
          <w:highlight w:val="none"/>
          <w:lang w:bidi="ar"/>
        </w:rPr>
        <w:t>（四）验收方式</w:t>
      </w:r>
    </w:p>
    <w:p w14:paraId="6FA81A36">
      <w:pPr>
        <w:snapToGrid w:val="0"/>
        <w:spacing w:line="400" w:lineRule="exact"/>
        <w:ind w:firstLine="560" w:firstLineChars="200"/>
        <w:outlineLvl w:val="2"/>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kern w:val="0"/>
          <w:sz w:val="28"/>
          <w:szCs w:val="28"/>
          <w:highlight w:val="none"/>
          <w:lang w:val="en-US" w:eastAsia="zh-CN"/>
        </w:rPr>
        <w:t>1.</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项目验收</w:t>
      </w:r>
    </w:p>
    <w:p w14:paraId="26586290">
      <w:pPr>
        <w:snapToGrid w:val="0"/>
        <w:spacing w:line="400" w:lineRule="exact"/>
        <w:ind w:firstLine="560" w:firstLineChars="200"/>
        <w:outlineLvl w:val="2"/>
        <w:rPr>
          <w:rFonts w:hint="default" w:ascii="方正仿宋_GBK" w:hAnsi="方正仿宋_GBK" w:eastAsia="方正仿宋_GBK" w:cs="方正仿宋_GBK"/>
          <w:kern w:val="0"/>
          <w:sz w:val="28"/>
          <w:szCs w:val="28"/>
          <w:highlight w:val="none"/>
          <w:lang w:val="en-US" w:eastAsia="zh-CN"/>
        </w:rPr>
      </w:pPr>
      <w:r>
        <w:rPr>
          <w:rFonts w:hint="eastAsia" w:ascii="方正仿宋_GBK" w:hAnsi="方正仿宋_GBK" w:eastAsia="方正仿宋_GBK" w:cs="方正仿宋_GBK"/>
          <w:kern w:val="0"/>
          <w:sz w:val="28"/>
          <w:szCs w:val="28"/>
          <w:highlight w:val="none"/>
          <w:lang w:val="en-US" w:eastAsia="zh-CN"/>
        </w:rPr>
        <w:t>（1）系统上线前验收。指完成软件部署、接口对接、系统培训等工作，系统达到上线使用要求，乙方向甲方提出系统上线前验收申请，经甲方审核同意后，在10个工作日内组织开展系统上线前验收。</w:t>
      </w:r>
    </w:p>
    <w:p w14:paraId="707374B0">
      <w:pPr>
        <w:snapToGrid w:val="0"/>
        <w:spacing w:line="400" w:lineRule="exact"/>
        <w:ind w:firstLine="560" w:firstLineChars="200"/>
        <w:outlineLvl w:val="2"/>
        <w:rPr>
          <w:rFonts w:hint="default"/>
          <w:highlight w:val="none"/>
          <w:lang w:val="en-US" w:eastAsia="zh-CN"/>
        </w:rPr>
      </w:pPr>
      <w:r>
        <w:rPr>
          <w:rFonts w:hint="eastAsia" w:ascii="方正仿宋_GBK" w:hAnsi="方正仿宋_GBK" w:eastAsia="方正仿宋_GBK" w:cs="方正仿宋_GBK"/>
          <w:kern w:val="0"/>
          <w:sz w:val="28"/>
          <w:szCs w:val="28"/>
          <w:highlight w:val="none"/>
          <w:lang w:val="en-US" w:eastAsia="zh-CN"/>
        </w:rPr>
        <w:t>（2）服务期满验收。指系统上线使用正常运行满12个月，乙方向甲方提出服务期满验收申请，经甲方审核同意后，在10个工作日内组织开展服务期满验收</w:t>
      </w:r>
      <w:r>
        <w:rPr>
          <w:rFonts w:hint="eastAsia" w:ascii="方正仿宋_GBK" w:hAnsi="方正仿宋_GBK" w:eastAsia="方正仿宋_GBK" w:cs="方正仿宋_GBK"/>
          <w:kern w:val="0"/>
          <w:sz w:val="28"/>
          <w:szCs w:val="28"/>
          <w:highlight w:val="none"/>
          <w:lang w:eastAsia="zh-CN"/>
        </w:rPr>
        <w:t>。</w:t>
      </w:r>
    </w:p>
    <w:p w14:paraId="2923468A">
      <w:pPr>
        <w:snapToGrid w:val="0"/>
        <w:spacing w:line="400" w:lineRule="exact"/>
        <w:ind w:firstLine="560" w:firstLineChars="200"/>
        <w:outlineLvl w:val="2"/>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lang w:val="en-US" w:eastAsia="zh-CN"/>
        </w:rPr>
        <w:t>2</w:t>
      </w:r>
      <w:r>
        <w:rPr>
          <w:rFonts w:hint="eastAsia" w:ascii="方正仿宋_GBK" w:hAnsi="方正仿宋_GBK" w:eastAsia="方正仿宋_GBK" w:cs="方正仿宋_GBK"/>
          <w:kern w:val="0"/>
          <w:sz w:val="28"/>
          <w:szCs w:val="28"/>
          <w:highlight w:val="none"/>
        </w:rPr>
        <w:t>.验收报告：</w:t>
      </w:r>
      <w:r>
        <w:rPr>
          <w:rFonts w:hint="eastAsia" w:ascii="方正仿宋_GBK" w:hAnsi="方正仿宋_GBK" w:eastAsia="方正仿宋_GBK" w:cs="方正仿宋_GBK"/>
          <w:kern w:val="0"/>
          <w:sz w:val="28"/>
          <w:szCs w:val="28"/>
          <w:highlight w:val="none"/>
          <w:lang w:val="en-US" w:eastAsia="zh-CN"/>
        </w:rPr>
        <w:t>系统上线前验收和服务期满验收，</w:t>
      </w:r>
      <w:r>
        <w:rPr>
          <w:rFonts w:hint="eastAsia" w:ascii="方正仿宋_GBK" w:hAnsi="方正仿宋_GBK" w:eastAsia="方正仿宋_GBK" w:cs="方正仿宋_GBK"/>
          <w:kern w:val="0"/>
          <w:sz w:val="28"/>
          <w:szCs w:val="28"/>
          <w:highlight w:val="none"/>
        </w:rPr>
        <w:t>甲方</w:t>
      </w:r>
      <w:r>
        <w:rPr>
          <w:rFonts w:hint="eastAsia" w:ascii="方正仿宋_GBK" w:hAnsi="方正仿宋_GBK" w:eastAsia="方正仿宋_GBK" w:cs="方正仿宋_GBK"/>
          <w:kern w:val="0"/>
          <w:sz w:val="28"/>
          <w:szCs w:val="28"/>
          <w:highlight w:val="none"/>
          <w:lang w:val="en-US" w:eastAsia="zh-CN"/>
        </w:rPr>
        <w:t>均</w:t>
      </w:r>
      <w:r>
        <w:rPr>
          <w:rFonts w:hint="eastAsia" w:ascii="方正仿宋_GBK" w:hAnsi="方正仿宋_GBK" w:eastAsia="方正仿宋_GBK" w:cs="方正仿宋_GBK"/>
          <w:kern w:val="0"/>
          <w:sz w:val="28"/>
          <w:szCs w:val="28"/>
          <w:highlight w:val="none"/>
        </w:rPr>
        <w:t>应向乙方发放项目验收报告，以证实项目圆满通过验收。</w:t>
      </w:r>
    </w:p>
    <w:p w14:paraId="7E719F19">
      <w:pPr>
        <w:snapToGrid w:val="0"/>
        <w:spacing w:line="400" w:lineRule="exact"/>
        <w:ind w:firstLine="560" w:firstLineChars="200"/>
        <w:outlineLvl w:val="2"/>
        <w:rPr>
          <w:rFonts w:hint="eastAsia" w:ascii="方正仿宋_GBK" w:hAnsi="方正仿宋_GBK" w:eastAsia="方正仿宋_GBK" w:cs="方正仿宋_GBK"/>
          <w:b/>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kern w:val="0"/>
          <w:sz w:val="28"/>
          <w:szCs w:val="28"/>
          <w:highlight w:val="none"/>
          <w:lang w:val="en-US" w:eastAsia="zh-CN"/>
        </w:rPr>
        <w:t>3.验收文档：本项目验收文档可根据实际情况调整，主要包括但不限于：《项目实施方案》、《需求规格说明书》、《系统调试方案》、《系统调试报告》、《系统试运行报告》、《安装部署手册》、《用户手册》、《培训方案》。</w:t>
      </w:r>
    </w:p>
    <w:p w14:paraId="190A7255">
      <w:pPr>
        <w:spacing w:line="500" w:lineRule="exact"/>
        <w:rPr>
          <w:rFonts w:ascii="方正仿宋_GBK" w:hAnsi="方正仿宋_GBK" w:eastAsia="方正仿宋_GBK" w:cs="方正仿宋_GBK"/>
          <w:b/>
          <w:bCs/>
          <w:kern w:val="0"/>
          <w:sz w:val="30"/>
          <w:szCs w:val="30"/>
          <w:highlight w:val="none"/>
          <w:lang w:bidi="ar"/>
        </w:rPr>
      </w:pPr>
      <w:r>
        <w:rPr>
          <w:rFonts w:hint="eastAsia" w:ascii="方正仿宋_GBK" w:hAnsi="方正仿宋_GBK" w:eastAsia="方正仿宋_GBK" w:cs="方正仿宋_GBK"/>
          <w:b/>
          <w:bCs/>
          <w:kern w:val="0"/>
          <w:sz w:val="30"/>
          <w:szCs w:val="30"/>
          <w:highlight w:val="none"/>
          <w:lang w:bidi="ar"/>
        </w:rPr>
        <w:t>（五）</w:t>
      </w:r>
      <w:bookmarkStart w:id="0" w:name="_Toc518289528"/>
      <w:bookmarkStart w:id="1" w:name="_Toc482711907"/>
      <w:bookmarkStart w:id="2" w:name="_Toc420664260"/>
      <w:bookmarkStart w:id="3" w:name="_Toc25725130"/>
      <w:r>
        <w:rPr>
          <w:rFonts w:hint="eastAsia" w:ascii="方正仿宋_GBK" w:hAnsi="方正仿宋_GBK" w:eastAsia="方正仿宋_GBK" w:cs="方正仿宋_GBK"/>
          <w:b/>
          <w:bCs/>
          <w:kern w:val="0"/>
          <w:sz w:val="30"/>
          <w:szCs w:val="30"/>
          <w:highlight w:val="none"/>
          <w:lang w:bidi="ar"/>
        </w:rPr>
        <w:t>质保期及售后服务</w:t>
      </w:r>
      <w:bookmarkEnd w:id="0"/>
      <w:bookmarkEnd w:id="1"/>
      <w:bookmarkEnd w:id="2"/>
      <w:bookmarkEnd w:id="3"/>
    </w:p>
    <w:p w14:paraId="323FBEDF">
      <w:pPr>
        <w:snapToGrid w:val="0"/>
        <w:spacing w:line="400" w:lineRule="exact"/>
        <w:ind w:firstLine="560" w:firstLineChars="200"/>
        <w:outlineLvl w:val="2"/>
        <w:rPr>
          <w:rFonts w:hint="eastAsia" w:ascii="方正仿宋_GBK" w:hAnsi="方正仿宋_GBK" w:eastAsia="方正仿宋_GBK" w:cs="方正仿宋_GBK"/>
          <w:kern w:val="0"/>
          <w:sz w:val="28"/>
          <w:szCs w:val="28"/>
          <w:highlight w:val="none"/>
          <w:lang w:val="en-US" w:eastAsia="zh-CN"/>
        </w:rPr>
      </w:pPr>
      <w:r>
        <w:rPr>
          <w:rFonts w:hint="eastAsia" w:ascii="方正仿宋_GBK" w:hAnsi="方正仿宋_GBK" w:eastAsia="方正仿宋_GBK" w:cs="方正仿宋_GBK"/>
          <w:kern w:val="0"/>
          <w:sz w:val="28"/>
          <w:szCs w:val="28"/>
          <w:highlight w:val="none"/>
          <w:lang w:val="en-US" w:eastAsia="zh-CN"/>
        </w:rPr>
        <w:t>乙方提供的商品必须是全新的，完全符合国家有关技术标准，乙方的质量保证及售后服务承诺如下：</w:t>
      </w:r>
    </w:p>
    <w:p w14:paraId="2623482D">
      <w:pPr>
        <w:snapToGrid w:val="0"/>
        <w:spacing w:line="400" w:lineRule="exact"/>
        <w:ind w:firstLine="560" w:firstLineChars="200"/>
        <w:outlineLvl w:val="2"/>
        <w:rPr>
          <w:rFonts w:hint="eastAsia" w:ascii="方正仿宋_GBK" w:hAnsi="方正仿宋_GBK" w:eastAsia="方正仿宋_GBK" w:cs="方正仿宋_GBK"/>
          <w:kern w:val="0"/>
          <w:sz w:val="28"/>
          <w:szCs w:val="28"/>
          <w:highlight w:val="none"/>
          <w:lang w:val="en-US" w:eastAsia="zh-CN"/>
        </w:rPr>
      </w:pPr>
      <w:r>
        <w:rPr>
          <w:rFonts w:hint="eastAsia" w:ascii="方正仿宋_GBK" w:hAnsi="方正仿宋_GBK" w:eastAsia="方正仿宋_GBK" w:cs="方正仿宋_GBK"/>
          <w:kern w:val="0"/>
          <w:sz w:val="28"/>
          <w:szCs w:val="28"/>
          <w:highlight w:val="none"/>
          <w:lang w:val="en-US" w:eastAsia="zh-CN"/>
        </w:rPr>
        <w:t>1、质量要求：乙方提供的服务及产品各项技术参数必须完全符合招标文件要求和乙方投标文件承诺。</w:t>
      </w:r>
    </w:p>
    <w:p w14:paraId="2D6062E7">
      <w:pPr>
        <w:snapToGrid w:val="0"/>
        <w:spacing w:line="400" w:lineRule="exact"/>
        <w:ind w:firstLine="560" w:firstLineChars="200"/>
        <w:outlineLvl w:val="2"/>
        <w:rPr>
          <w:rFonts w:hint="eastAsia" w:ascii="方正仿宋_GBK" w:hAnsi="方正仿宋_GBK" w:eastAsia="方正仿宋_GBK" w:cs="方正仿宋_GBK"/>
          <w:kern w:val="0"/>
          <w:sz w:val="28"/>
          <w:szCs w:val="28"/>
          <w:highlight w:val="none"/>
          <w:lang w:val="en-US" w:eastAsia="zh-CN"/>
        </w:rPr>
      </w:pPr>
      <w:r>
        <w:rPr>
          <w:rFonts w:hint="eastAsia" w:ascii="方正仿宋_GBK" w:hAnsi="方正仿宋_GBK" w:eastAsia="方正仿宋_GBK" w:cs="方正仿宋_GBK"/>
          <w:kern w:val="0"/>
          <w:sz w:val="28"/>
          <w:szCs w:val="28"/>
          <w:highlight w:val="none"/>
          <w:lang w:val="en-US" w:eastAsia="zh-CN"/>
        </w:rPr>
        <w:t>2、</w:t>
      </w:r>
      <w:r>
        <w:rPr>
          <w:rFonts w:hint="eastAsia" w:ascii="方正仿宋_GBK" w:hAnsi="方正仿宋_GBK" w:eastAsia="方正仿宋_GBK" w:cs="方正仿宋_GBK"/>
          <w:kern w:val="0"/>
          <w:sz w:val="28"/>
          <w:szCs w:val="28"/>
          <w:highlight w:val="none"/>
          <w:lang w:val="en-US" w:eastAsia="zh-CN"/>
        </w:rPr>
        <w:t>质保期：服务期1年。自系统上线前验收通过之日起算</w:t>
      </w:r>
      <w:r>
        <w:rPr>
          <w:rFonts w:hint="eastAsia" w:ascii="方正仿宋_GBK" w:hAnsi="方正仿宋_GBK" w:eastAsia="方正仿宋_GBK" w:cs="方正仿宋_GBK"/>
          <w:kern w:val="0"/>
          <w:sz w:val="28"/>
          <w:szCs w:val="28"/>
          <w:highlight w:val="none"/>
          <w:lang w:val="en-US" w:eastAsia="zh-CN"/>
        </w:rPr>
        <w:t>。</w:t>
      </w:r>
    </w:p>
    <w:p w14:paraId="391C0932">
      <w:pPr>
        <w:snapToGrid w:val="0"/>
        <w:spacing w:line="400" w:lineRule="exact"/>
        <w:ind w:firstLine="560" w:firstLineChars="200"/>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kern w:val="0"/>
          <w:sz w:val="28"/>
          <w:szCs w:val="28"/>
          <w:highlight w:val="none"/>
        </w:rPr>
        <w:t>2.1软件类由制造商负责标准售后服务（含7*24小时维保服务），提供制造商售后服务承诺函</w:t>
      </w:r>
      <w:r>
        <w:rPr>
          <w:rFonts w:hint="eastAsia" w:ascii="方正仿宋_GBK" w:hAnsi="方正仿宋_GBK" w:eastAsia="方正仿宋_GBK" w:cs="方正仿宋_GBK"/>
          <w:kern w:val="0"/>
          <w:sz w:val="28"/>
          <w:szCs w:val="28"/>
          <w:highlight w:val="none"/>
          <w:lang w:val="en-US" w:eastAsia="zh-CN"/>
        </w:rPr>
        <w:t>原件（验收提供）</w:t>
      </w:r>
      <w:r>
        <w:rPr>
          <w:rFonts w:hint="eastAsia" w:ascii="方正仿宋_GBK" w:hAnsi="方正仿宋_GBK" w:eastAsia="方正仿宋_GBK" w:cs="方正仿宋_GBK"/>
          <w:kern w:val="0"/>
          <w:sz w:val="28"/>
          <w:szCs w:val="28"/>
          <w:highlight w:val="none"/>
        </w:rPr>
        <w:t>。</w:t>
      </w:r>
    </w:p>
    <w:p w14:paraId="262AF800">
      <w:pPr>
        <w:snapToGrid w:val="0"/>
        <w:spacing w:line="40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3、服务措施：</w:t>
      </w:r>
    </w:p>
    <w:p w14:paraId="3BDCD84E">
      <w:pPr>
        <w:snapToGrid w:val="0"/>
        <w:spacing w:line="40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3.1电话咨询</w:t>
      </w:r>
    </w:p>
    <w:p w14:paraId="4A290965">
      <w:pPr>
        <w:snapToGrid w:val="0"/>
        <w:spacing w:line="40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乙方和制造商应当为甲方提供技术援助电话，解答甲方在使用中遇到的问题，及时为甲方提出解决问题的建议。</w:t>
      </w:r>
    </w:p>
    <w:p w14:paraId="06721939">
      <w:pPr>
        <w:snapToGrid w:val="0"/>
        <w:spacing w:line="40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3.2现场响应</w:t>
      </w:r>
    </w:p>
    <w:p w14:paraId="78EE6D7E">
      <w:pPr>
        <w:snapToGrid w:val="0"/>
        <w:spacing w:line="40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甲方遇到使用及技术问题，电话咨询不能解决的，乙方和制造商应在2小时内给出解决方案，4小时内到达现场进行处理，配件48小时内抵达现场，确保产品正常工作。</w:t>
      </w:r>
    </w:p>
    <w:p w14:paraId="1B1BCD4C">
      <w:pPr>
        <w:snapToGrid w:val="0"/>
        <w:spacing w:line="40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3.3技术升级</w:t>
      </w:r>
    </w:p>
    <w:p w14:paraId="6233E529">
      <w:pPr>
        <w:snapToGrid w:val="0"/>
        <w:spacing w:line="40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在质保期内，如果乙方和制造商的产品技术升级，乙方和制造商应及时通知甲方，如甲方有相应要求，乙方和制造商应对甲方购买的产品进行升级服务。</w:t>
      </w:r>
    </w:p>
    <w:p w14:paraId="39B824F7">
      <w:pPr>
        <w:spacing w:line="500" w:lineRule="exact"/>
        <w:rPr>
          <w:rFonts w:hint="eastAsia" w:ascii="方正仿宋_GBK" w:hAnsi="方正仿宋_GBK" w:eastAsia="方正仿宋_GBK" w:cs="方正仿宋_GBK"/>
          <w:b/>
          <w:bCs/>
          <w:kern w:val="0"/>
          <w:sz w:val="30"/>
          <w:szCs w:val="30"/>
          <w:highlight w:val="none"/>
          <w:lang w:bidi="ar"/>
        </w:rPr>
      </w:pPr>
      <w:r>
        <w:rPr>
          <w:rFonts w:hint="eastAsia" w:ascii="方正仿宋_GBK" w:hAnsi="方正仿宋_GBK" w:eastAsia="方正仿宋_GBK" w:cs="方正仿宋_GBK"/>
          <w:b/>
          <w:bCs/>
          <w:kern w:val="0"/>
          <w:sz w:val="30"/>
          <w:szCs w:val="30"/>
          <w:highlight w:val="none"/>
          <w:lang w:bidi="ar"/>
        </w:rPr>
        <w:t>（六）知识产权</w:t>
      </w:r>
    </w:p>
    <w:p w14:paraId="771ABD73">
      <w:pPr>
        <w:snapToGrid w:val="0"/>
        <w:spacing w:line="400" w:lineRule="exact"/>
        <w:ind w:firstLine="560" w:firstLineChars="200"/>
        <w:outlineLvl w:val="2"/>
        <w:rPr>
          <w:rFonts w:hint="eastAsia" w:ascii="方正仿宋_GBK" w:hAnsi="方正仿宋_GBK" w:eastAsia="方正仿宋_GBK" w:cs="方正仿宋_GBK"/>
          <w:kern w:val="0"/>
          <w:sz w:val="28"/>
          <w:szCs w:val="28"/>
          <w:highlight w:val="none"/>
          <w:lang w:val="en-US" w:eastAsia="zh-CN"/>
        </w:rPr>
      </w:pPr>
      <w:r>
        <w:rPr>
          <w:rFonts w:hint="eastAsia" w:ascii="方正仿宋_GBK" w:hAnsi="方正仿宋_GBK" w:eastAsia="方正仿宋_GBK" w:cs="方正仿宋_GBK"/>
          <w:kern w:val="0"/>
          <w:sz w:val="28"/>
          <w:szCs w:val="28"/>
          <w:highlight w:val="none"/>
          <w:lang w:val="en-US" w:eastAsia="zh-CN"/>
        </w:rPr>
        <w:t>本合同签署前甲乙双方各自已拥有的产品的知识产权归属不变。若甲方需使用乙方享有知识产权所的产品，甲方应享有相应知识产权的永久免费使用权。</w:t>
      </w:r>
    </w:p>
    <w:p w14:paraId="55AF665F">
      <w:pPr>
        <w:snapToGrid w:val="0"/>
        <w:spacing w:line="400" w:lineRule="exact"/>
        <w:ind w:firstLine="560" w:firstLineChars="200"/>
        <w:outlineLvl w:val="2"/>
        <w:rPr>
          <w:rFonts w:hint="eastAsia" w:ascii="方正仿宋_GBK" w:hAnsi="方正仿宋_GBK" w:eastAsia="方正仿宋_GBK" w:cs="方正仿宋_GBK"/>
          <w:kern w:val="0"/>
          <w:sz w:val="28"/>
          <w:szCs w:val="28"/>
          <w:highlight w:val="none"/>
          <w:lang w:val="en-US" w:eastAsia="zh-CN"/>
        </w:rPr>
      </w:pPr>
      <w:r>
        <w:rPr>
          <w:rFonts w:hint="eastAsia" w:ascii="方正仿宋_GBK" w:hAnsi="方正仿宋_GBK" w:eastAsia="方正仿宋_GBK" w:cs="方正仿宋_GBK"/>
          <w:kern w:val="0"/>
          <w:sz w:val="28"/>
          <w:szCs w:val="28"/>
          <w:highlight w:val="none"/>
          <w:lang w:val="en-US" w:eastAsia="zh-CN"/>
        </w:rPr>
        <w:t>甲方单独享有本合同下产生的系统等成果的所有知识产权，未经甲方许可，乙方不得以任何形式侵犯甲方的知识产权。</w:t>
      </w:r>
    </w:p>
    <w:p w14:paraId="06503D93">
      <w:pPr>
        <w:snapToGrid w:val="0"/>
        <w:spacing w:line="400" w:lineRule="exact"/>
        <w:ind w:firstLine="560" w:firstLineChars="200"/>
        <w:outlineLvl w:val="2"/>
        <w:rPr>
          <w:rFonts w:hint="eastAsia" w:ascii="方正仿宋_GBK" w:hAnsi="方正仿宋_GBK" w:eastAsia="方正仿宋_GBK" w:cs="方正仿宋_GBK"/>
          <w:kern w:val="0"/>
          <w:sz w:val="28"/>
          <w:szCs w:val="28"/>
          <w:highlight w:val="none"/>
          <w:lang w:val="en-US" w:eastAsia="zh-CN"/>
        </w:rPr>
      </w:pPr>
      <w:r>
        <w:rPr>
          <w:rFonts w:hint="eastAsia" w:ascii="方正仿宋_GBK" w:hAnsi="方正仿宋_GBK" w:eastAsia="方正仿宋_GBK" w:cs="方正仿宋_GBK"/>
          <w:kern w:val="0"/>
          <w:sz w:val="28"/>
          <w:szCs w:val="28"/>
          <w:highlight w:val="none"/>
          <w:lang w:val="en-US" w:eastAsia="zh-CN"/>
        </w:rPr>
        <w:t>乙方保证履行本合同中均不得侵犯任何合法知识产权，由于软件使用产生的一切知识产权纠纷责任均由乙方承担。该条款有效期不随合同的结束而终止。因乙方提供的产品或服务导致甲方受到有关侵犯其专利权、商标权或著作权等知识产权的指控，由乙方负责与第三方交涉并承担一切法律责任与因此产生的所有费用。甲方因此而遭受损失的由乙方承担。</w:t>
      </w:r>
    </w:p>
    <w:p w14:paraId="32D05D2B">
      <w:pPr>
        <w:spacing w:line="500" w:lineRule="exact"/>
        <w:rPr>
          <w:rFonts w:hint="eastAsia" w:ascii="方正仿宋_GBK" w:hAnsi="方正仿宋_GBK" w:eastAsia="方正仿宋_GBK" w:cs="方正仿宋_GBK"/>
          <w:b/>
          <w:bCs/>
          <w:kern w:val="0"/>
          <w:sz w:val="30"/>
          <w:szCs w:val="30"/>
          <w:highlight w:val="none"/>
          <w:lang w:val="en-US" w:eastAsia="zh-CN" w:bidi="ar"/>
        </w:rPr>
      </w:pPr>
      <w:r>
        <w:rPr>
          <w:rFonts w:hint="eastAsia" w:ascii="方正仿宋_GBK" w:hAnsi="方正仿宋_GBK" w:eastAsia="方正仿宋_GBK" w:cs="方正仿宋_GBK"/>
          <w:b/>
          <w:bCs/>
          <w:kern w:val="0"/>
          <w:sz w:val="30"/>
          <w:szCs w:val="30"/>
          <w:highlight w:val="none"/>
          <w:lang w:val="en-US" w:eastAsia="zh-CN" w:bidi="ar"/>
        </w:rPr>
        <w:t>（七）人员培训</w:t>
      </w:r>
    </w:p>
    <w:p w14:paraId="6B0F11D8">
      <w:pPr>
        <w:snapToGrid w:val="0"/>
        <w:spacing w:line="400" w:lineRule="exact"/>
        <w:ind w:firstLine="560" w:firstLineChars="200"/>
        <w:outlineLvl w:val="2"/>
        <w:rPr>
          <w:rFonts w:hint="eastAsia" w:ascii="方正仿宋_GBK" w:hAnsi="方正仿宋_GBK" w:eastAsia="方正仿宋_GBK" w:cs="方正仿宋_GBK"/>
          <w:kern w:val="0"/>
          <w:sz w:val="28"/>
          <w:szCs w:val="28"/>
          <w:highlight w:val="none"/>
          <w:lang w:val="en-US" w:eastAsia="zh-CN"/>
        </w:rPr>
      </w:pPr>
      <w:r>
        <w:rPr>
          <w:rFonts w:hint="eastAsia" w:ascii="方正仿宋_GBK" w:hAnsi="方正仿宋_GBK" w:eastAsia="方正仿宋_GBK" w:cs="方正仿宋_GBK"/>
          <w:kern w:val="0"/>
          <w:sz w:val="28"/>
          <w:szCs w:val="28"/>
          <w:highlight w:val="none"/>
          <w:lang w:val="en-US" w:eastAsia="zh-CN"/>
        </w:rPr>
        <w:t>乙方应在项目建设过程中及质保期内，根据甲方的要求，免费为甲方指定的人员提供技术指导和培训，或提供与项目相关的技术服务。</w:t>
      </w:r>
    </w:p>
    <w:p w14:paraId="41FDA9CB">
      <w:pPr>
        <w:spacing w:line="500" w:lineRule="exact"/>
        <w:rPr>
          <w:rFonts w:ascii="方正仿宋_GBK" w:hAnsi="方正仿宋_GBK" w:eastAsia="方正仿宋_GBK" w:cs="方正仿宋_GBK"/>
          <w:b/>
          <w:bCs/>
          <w:kern w:val="0"/>
          <w:sz w:val="30"/>
          <w:szCs w:val="30"/>
          <w:highlight w:val="none"/>
          <w:lang w:bidi="ar"/>
        </w:rPr>
      </w:pPr>
      <w:r>
        <w:rPr>
          <w:rFonts w:hint="eastAsia" w:ascii="方正仿宋_GBK" w:hAnsi="方正仿宋_GBK" w:eastAsia="方正仿宋_GBK" w:cs="方正仿宋_GBK"/>
          <w:b/>
          <w:bCs/>
          <w:kern w:val="0"/>
          <w:sz w:val="30"/>
          <w:szCs w:val="30"/>
          <w:highlight w:val="none"/>
          <w:lang w:bidi="ar"/>
        </w:rPr>
        <w:t>（</w:t>
      </w:r>
      <w:r>
        <w:rPr>
          <w:rFonts w:hint="eastAsia" w:ascii="方正仿宋_GBK" w:hAnsi="方正仿宋_GBK" w:eastAsia="方正仿宋_GBK" w:cs="方正仿宋_GBK"/>
          <w:b/>
          <w:bCs/>
          <w:kern w:val="0"/>
          <w:sz w:val="30"/>
          <w:szCs w:val="30"/>
          <w:highlight w:val="none"/>
          <w:lang w:val="en-US" w:eastAsia="zh-CN" w:bidi="ar"/>
        </w:rPr>
        <w:t>八</w:t>
      </w:r>
      <w:r>
        <w:rPr>
          <w:rFonts w:hint="eastAsia" w:ascii="方正仿宋_GBK" w:hAnsi="方正仿宋_GBK" w:eastAsia="方正仿宋_GBK" w:cs="方正仿宋_GBK"/>
          <w:b/>
          <w:bCs/>
          <w:kern w:val="0"/>
          <w:sz w:val="30"/>
          <w:szCs w:val="30"/>
          <w:highlight w:val="none"/>
          <w:lang w:bidi="ar"/>
        </w:rPr>
        <w:t>）其他商务要求内容</w:t>
      </w:r>
    </w:p>
    <w:p w14:paraId="0999633B">
      <w:pPr>
        <w:spacing w:line="500" w:lineRule="exact"/>
        <w:ind w:firstLine="560" w:firstLineChars="200"/>
        <w:rPr>
          <w:highlight w:val="none"/>
        </w:rPr>
      </w:pPr>
      <w:r>
        <w:rPr>
          <w:rFonts w:hint="eastAsia" w:ascii="方正仿宋_GBK" w:hAnsi="方正仿宋_GBK" w:eastAsia="方正仿宋_GBK" w:cs="方正仿宋_GBK"/>
          <w:kern w:val="0"/>
          <w:sz w:val="28"/>
          <w:szCs w:val="28"/>
          <w:highlight w:val="none"/>
          <w:lang w:bidi="ar"/>
        </w:rPr>
        <w:t>其他未尽事宜由供需双方在采购合同中详细约定。</w:t>
      </w:r>
    </w:p>
    <w:p w14:paraId="2F80C271">
      <w:pPr>
        <w:rPr>
          <w:highlight w:val="none"/>
        </w:rPr>
      </w:pPr>
    </w:p>
    <w:p w14:paraId="19C41F07">
      <w:pPr>
        <w:rPr>
          <w:highlight w:val="none"/>
        </w:rPr>
      </w:pPr>
    </w:p>
    <w:p w14:paraId="6908BC71">
      <w:pPr>
        <w:rPr>
          <w:highlight w:val="none"/>
        </w:rPr>
      </w:pPr>
    </w:p>
    <w:p w14:paraId="4CDA079F">
      <w:pPr>
        <w:rPr>
          <w:rFonts w:ascii="方正仿宋_GBK" w:hAnsi="方正仿宋_GBK" w:eastAsia="方正仿宋_GBK" w:cs="方正仿宋_GBK"/>
          <w:sz w:val="30"/>
          <w:szCs w:val="30"/>
          <w:highlight w:val="none"/>
        </w:rPr>
      </w:pPr>
    </w:p>
    <w:p w14:paraId="558F7E28">
      <w:pPr>
        <w:rPr>
          <w:highlight w:val="none"/>
        </w:rPr>
      </w:pPr>
    </w:p>
    <w:p w14:paraId="1F8E215D">
      <w:pPr>
        <w:pStyle w:val="2"/>
        <w:numPr>
          <w:ilvl w:val="0"/>
          <w:numId w:val="0"/>
        </w:numPr>
        <w:jc w:val="both"/>
        <w:rPr>
          <w:highlight w:val="none"/>
        </w:rPr>
      </w:pPr>
    </w:p>
    <w:p w14:paraId="2096F341">
      <w:pPr>
        <w:pStyle w:val="8"/>
        <w:ind w:firstLine="480"/>
        <w:rPr>
          <w:highlight w:val="non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仿宋_GBK">
    <w:panose1 w:val="02000000000000000000"/>
    <w:charset w:val="86"/>
    <w:family w:val="roman"/>
    <w:pitch w:val="default"/>
    <w:sig w:usb0="A00002BF" w:usb1="38CF7CFA" w:usb2="00082016" w:usb3="00000000" w:csb0="00040001" w:csb1="00000000"/>
    <w:embedRegular r:id="rId1" w:fontKey="{B97B8FEA-FF85-42BA-A99C-74BEE5407F77}"/>
  </w:font>
  <w:font w:name="方正宋三简体">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2" w:fontKey="{F4C27D1E-BCFE-4363-8D76-36819FDB9594}"/>
  </w:font>
  <w:font w:name="方正小标宋_GBK">
    <w:panose1 w:val="02000000000000000000"/>
    <w:charset w:val="86"/>
    <w:family w:val="script"/>
    <w:pitch w:val="default"/>
    <w:sig w:usb0="A00002BF" w:usb1="38CF7CFA" w:usb2="00082016" w:usb3="00000000" w:csb0="00040001" w:csb1="00000000"/>
    <w:embedRegular r:id="rId3" w:fontKey="{87A21BC8-608A-4692-ABC7-9BAEF3E85C8A}"/>
  </w:font>
  <w:font w:name="方正黑体_GBK">
    <w:altName w:val="Arial Unicode MS"/>
    <w:panose1 w:val="03000509000000000000"/>
    <w:charset w:val="86"/>
    <w:family w:val="script"/>
    <w:pitch w:val="default"/>
    <w:sig w:usb0="00000000" w:usb1="00000000" w:usb2="00000000" w:usb3="00000000" w:csb0="00040000" w:csb1="00000000"/>
    <w:embedRegular r:id="rId4" w:fontKey="{30B571BF-29E8-4CCB-A067-1090D55A5E5B}"/>
  </w:font>
  <w:font w:name="仿宋_GB2312">
    <w:altName w:val="仿宋"/>
    <w:panose1 w:val="00000000000000000000"/>
    <w:charset w:val="86"/>
    <w:family w:val="modern"/>
    <w:pitch w:val="default"/>
    <w:sig w:usb0="00000000" w:usb1="00000000" w:usb2="00000010" w:usb3="00000000" w:csb0="00040000" w:csb1="00000000"/>
    <w:embedRegular r:id="rId5" w:fontKey="{28D25680-0EB6-407E-A4D8-8D034C7555A8}"/>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25FC0">
    <w:pPr>
      <w:pStyle w:val="13"/>
      <w:ind w:firstLine="360"/>
      <w:jc w:val="center"/>
      <w:rPr>
        <w:rFonts w:hint="eastAsia"/>
      </w:rPr>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B9A97">
    <w:pPr>
      <w:pStyle w:val="13"/>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4B5F0">
    <w:pPr>
      <w:pStyle w:val="13"/>
      <w:ind w:firstLine="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5F79F">
    <w:pPr>
      <w:pStyle w:val="14"/>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014B1">
    <w:pPr>
      <w:pStyle w:val="14"/>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11207">
    <w:pPr>
      <w:pStyle w:val="14"/>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E4F15A"/>
    <w:multiLevelType w:val="singleLevel"/>
    <w:tmpl w:val="BAE4F15A"/>
    <w:lvl w:ilvl="0" w:tentative="0">
      <w:start w:val="1"/>
      <w:numFmt w:val="chineseCounting"/>
      <w:suff w:val="nothing"/>
      <w:lvlText w:val="%1、"/>
      <w:lvlJc w:val="left"/>
      <w:rPr>
        <w:rFonts w:hint="eastAsia"/>
      </w:rPr>
    </w:lvl>
  </w:abstractNum>
  <w:abstractNum w:abstractNumId="1">
    <w:nsid w:val="00000017"/>
    <w:multiLevelType w:val="multilevel"/>
    <w:tmpl w:val="00000017"/>
    <w:lvl w:ilvl="0" w:tentative="0">
      <w:start w:val="1"/>
      <w:numFmt w:val="decimal"/>
      <w:lvlText w:val="%1"/>
      <w:lvlJc w:val="left"/>
      <w:pPr>
        <w:tabs>
          <w:tab w:val="left" w:pos="432"/>
        </w:tabs>
        <w:ind w:left="432" w:hanging="432"/>
      </w:pPr>
      <w:rPr>
        <w:rFonts w:ascii="Arial" w:hAnsi="Arial"/>
      </w:rPr>
    </w:lvl>
    <w:lvl w:ilvl="1" w:tentative="0">
      <w:start w:val="1"/>
      <w:numFmt w:val="decimal"/>
      <w:pStyle w:val="3"/>
      <w:lvlText w:val="%1.%2"/>
      <w:lvlJc w:val="left"/>
      <w:pPr>
        <w:tabs>
          <w:tab w:val="left" w:pos="576"/>
        </w:tabs>
        <w:ind w:left="576" w:hanging="576"/>
      </w:pPr>
      <w:rPr>
        <w:rFonts w:ascii="Arial" w:hAnsi="Arial"/>
      </w:rPr>
    </w:lvl>
    <w:lvl w:ilvl="2" w:tentative="0">
      <w:start w:val="1"/>
      <w:numFmt w:val="decimal"/>
      <w:lvlText w:val="%1.%2.%3"/>
      <w:lvlJc w:val="left"/>
      <w:pPr>
        <w:tabs>
          <w:tab w:val="left" w:pos="1712"/>
        </w:tabs>
        <w:ind w:left="1712" w:hanging="720"/>
      </w:pPr>
      <w:rPr>
        <w:rFonts w:ascii="Arial" w:hAnsi="Arial"/>
      </w:rPr>
    </w:lvl>
    <w:lvl w:ilvl="3" w:tentative="0">
      <w:start w:val="1"/>
      <w:numFmt w:val="decimal"/>
      <w:lvlText w:val="%1.%2.%3.%4"/>
      <w:lvlJc w:val="left"/>
      <w:pPr>
        <w:tabs>
          <w:tab w:val="left" w:pos="1006"/>
        </w:tabs>
        <w:ind w:left="1006" w:hanging="864"/>
      </w:pPr>
      <w:rPr>
        <w:rFonts w:ascii="Arial" w:hAnsi="Arial"/>
      </w:rPr>
    </w:lvl>
    <w:lvl w:ilvl="4" w:tentative="0">
      <w:start w:val="1"/>
      <w:numFmt w:val="decimal"/>
      <w:lvlText w:val="%1.%2.%3.%4.%5"/>
      <w:lvlJc w:val="left"/>
      <w:pPr>
        <w:tabs>
          <w:tab w:val="left" w:pos="1150"/>
        </w:tabs>
        <w:ind w:left="1150" w:hanging="1008"/>
      </w:pPr>
      <w:rPr>
        <w:rFonts w:ascii="Arial" w:hAnsi="Arial"/>
      </w:rPr>
    </w:lvl>
    <w:lvl w:ilvl="5" w:tentative="0">
      <w:start w:val="1"/>
      <w:numFmt w:val="decimal"/>
      <w:lvlText w:val="%1.%2.%3.%4.%5.%6"/>
      <w:lvlJc w:val="left"/>
      <w:pPr>
        <w:tabs>
          <w:tab w:val="left" w:pos="1152"/>
        </w:tabs>
        <w:ind w:left="1152" w:hanging="1152"/>
      </w:pPr>
      <w:rPr>
        <w:rFonts w:ascii="Arial" w:hAnsi="Arial"/>
      </w:r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
    <w:nsid w:val="440C4C18"/>
    <w:multiLevelType w:val="multilevel"/>
    <w:tmpl w:val="440C4C18"/>
    <w:lvl w:ilvl="0" w:tentative="0">
      <w:start w:val="1"/>
      <w:numFmt w:val="chineseCountingThousand"/>
      <w:suff w:val="space"/>
      <w:lvlText w:val="第%1章"/>
      <w:lvlJc w:val="center"/>
      <w:pPr>
        <w:ind w:left="0" w:firstLine="0"/>
      </w:pPr>
      <w:rPr>
        <w:rFonts w:hint="default" w:ascii="Cambria Math" w:hAnsi="Cambria Math" w:eastAsia="Tahoma"/>
        <w:b/>
        <w:i w:val="0"/>
        <w:sz w:val="32"/>
        <w:szCs w:val="32"/>
      </w:rPr>
    </w:lvl>
    <w:lvl w:ilvl="1" w:tentative="0">
      <w:start w:val="1"/>
      <w:numFmt w:val="decimal"/>
      <w:isLgl/>
      <w:suff w:val="space"/>
      <w:lvlText w:val="%2"/>
      <w:lvlJc w:val="left"/>
      <w:pPr>
        <w:ind w:left="0" w:firstLine="0"/>
      </w:pPr>
    </w:lvl>
    <w:lvl w:ilvl="2" w:tentative="0">
      <w:start w:val="1"/>
      <w:numFmt w:val="decimal"/>
      <w:isLgl/>
      <w:suff w:val="space"/>
      <w:lvlText w:val="%2.%3"/>
      <w:lvlJc w:val="left"/>
      <w:pPr>
        <w:ind w:left="0" w:firstLine="0"/>
      </w:pPr>
      <w:rPr>
        <w:rFonts w:hint="eastAsia" w:ascii="Tahoma" w:hAnsi="Cambria Math" w:eastAsia="Tahoma" w:cs="Cambria Math"/>
        <w:b/>
        <w:bCs w:val="0"/>
        <w:i w:val="0"/>
        <w:iCs w:val="0"/>
        <w:caps w:val="0"/>
        <w:smallCaps w:val="0"/>
        <w:strike w:val="0"/>
        <w:dstrike w:val="0"/>
        <w:vanish w:val="0"/>
        <w:color w:val="000000"/>
        <w:spacing w:val="0"/>
        <w:kern w:val="0"/>
        <w:position w:val="0"/>
        <w:sz w:val="32"/>
        <w:szCs w:val="32"/>
        <w:u w:val="none"/>
        <w:vertAlign w:val="baseline"/>
        <w:lang w:val="en-US"/>
      </w:rPr>
    </w:lvl>
    <w:lvl w:ilvl="3" w:tentative="0">
      <w:start w:val="1"/>
      <w:numFmt w:val="decimal"/>
      <w:isLgl/>
      <w:suff w:val="space"/>
      <w:lvlText w:val="%2.%3.%4"/>
      <w:lvlJc w:val="left"/>
      <w:pPr>
        <w:ind w:left="0" w:firstLine="0"/>
      </w:pPr>
      <w:rPr>
        <w:rFonts w:hint="default" w:ascii="Times New Roman" w:hAnsi="Times New Roman" w:eastAsia="Tahoma" w:cs="Cambria Math"/>
        <w:b/>
        <w:bCs w:val="0"/>
        <w:i w:val="0"/>
        <w:sz w:val="24"/>
        <w:lang w:val="en-US"/>
      </w:rPr>
    </w:lvl>
    <w:lvl w:ilvl="4" w:tentative="0">
      <w:start w:val="1"/>
      <w:numFmt w:val="decimal"/>
      <w:isLgl/>
      <w:suff w:val="space"/>
      <w:lvlText w:val="%2.%3.%4.%5"/>
      <w:lvlJc w:val="left"/>
      <w:pPr>
        <w:ind w:left="0" w:firstLine="0"/>
      </w:pPr>
      <w:rPr>
        <w:rFonts w:hint="default" w:ascii="Times New Roman" w:hAnsi="Times New Roman" w:eastAsia="Tahoma" w:cs="Cambria Math"/>
        <w:b/>
        <w:bCs/>
        <w:i w:val="0"/>
        <w:iCs w:val="0"/>
        <w:caps w:val="0"/>
        <w:smallCaps w:val="0"/>
        <w:strike w:val="0"/>
        <w:dstrike w:val="0"/>
        <w:vanish w:val="0"/>
        <w:spacing w:val="0"/>
        <w:position w:val="0"/>
        <w:u w:val="none"/>
        <w:vertAlign w:val="baseline"/>
      </w:rPr>
    </w:lvl>
    <w:lvl w:ilvl="5" w:tentative="0">
      <w:start w:val="1"/>
      <w:numFmt w:val="decimal"/>
      <w:suff w:val="space"/>
      <w:lvlText w:val="%2.%3.%4.%5.%6"/>
      <w:lvlJc w:val="left"/>
      <w:pPr>
        <w:ind w:left="0" w:firstLine="0"/>
      </w:pPr>
      <w:rPr>
        <w:rFonts w:hint="default" w:ascii="Times New Roman" w:hAnsi="Times New Roman" w:eastAsia="Tahoma" w:cs="Times New Roman"/>
        <w:b/>
        <w:i w:val="0"/>
        <w:sz w:val="24"/>
        <w:szCs w:val="22"/>
      </w:rPr>
    </w:lvl>
    <w:lvl w:ilvl="6" w:tentative="0">
      <w:start w:val="1"/>
      <w:numFmt w:val="decimal"/>
      <w:suff w:val="space"/>
      <w:lvlText w:val="%2.%3.%4.%5.%7"/>
      <w:lvlJc w:val="left"/>
      <w:pPr>
        <w:ind w:left="0" w:firstLine="0"/>
      </w:pPr>
      <w:rPr>
        <w:rFonts w:hint="eastAsia" w:ascii="Cambria Math" w:hAnsi="Cambria Math" w:cs="Cambria Math"/>
        <w:i w:val="0"/>
        <w:iCs w:val="0"/>
        <w:caps w:val="0"/>
        <w:smallCaps w:val="0"/>
        <w:strike w:val="0"/>
        <w:dstrike w:val="0"/>
        <w:vanish w:val="0"/>
        <w:spacing w:val="0"/>
        <w:position w:val="0"/>
        <w:u w:val="none"/>
        <w:vertAlign w:val="baseline"/>
      </w:rPr>
    </w:lvl>
    <w:lvl w:ilvl="7" w:tentative="0">
      <w:start w:val="1"/>
      <w:numFmt w:val="decimal"/>
      <w:lvlRestart w:val="2"/>
      <w:suff w:val="nothing"/>
      <w:lvlText w:val="表%2.%3-%8   "/>
      <w:lvlJc w:val="left"/>
      <w:pPr>
        <w:ind w:left="0" w:firstLine="0"/>
      </w:pPr>
      <w:rPr>
        <w:rFonts w:hint="default" w:ascii="Cambria Math" w:hAnsi="Cambria Math" w:eastAsia="Tahoma"/>
        <w:sz w:val="21"/>
      </w:rPr>
    </w:lvl>
    <w:lvl w:ilvl="8" w:tentative="0">
      <w:start w:val="1"/>
      <w:numFmt w:val="decimal"/>
      <w:lvlRestart w:val="2"/>
      <w:suff w:val="nothing"/>
      <w:lvlText w:val="图%2.%3-%9   "/>
      <w:lvlJc w:val="left"/>
      <w:pPr>
        <w:ind w:left="3686" w:firstLine="0"/>
      </w:pPr>
      <w:rPr>
        <w:rFonts w:hint="default" w:ascii="Cambria Math" w:hAnsi="Cambria Math" w:eastAsia="Arial"/>
        <w:sz w:val="21"/>
      </w:rPr>
    </w:lvl>
  </w:abstractNum>
  <w:abstractNum w:abstractNumId="3">
    <w:nsid w:val="60A32B38"/>
    <w:multiLevelType w:val="multilevel"/>
    <w:tmpl w:val="60A32B38"/>
    <w:lvl w:ilvl="0" w:tentative="0">
      <w:start w:val="1"/>
      <w:numFmt w:val="chineseCountingThousand"/>
      <w:pStyle w:val="2"/>
      <w:suff w:val="space"/>
      <w:lvlText w:val="第%1章"/>
      <w:lvlJc w:val="center"/>
      <w:pPr>
        <w:ind w:left="2268" w:firstLine="0"/>
      </w:pPr>
      <w:rPr>
        <w:rFonts w:hint="default"/>
        <w:b/>
        <w:i w:val="0"/>
        <w:sz w:val="32"/>
        <w:szCs w:val="32"/>
      </w:rPr>
    </w:lvl>
    <w:lvl w:ilvl="1" w:tentative="0">
      <w:start w:val="1"/>
      <w:numFmt w:val="decimal"/>
      <w:isLgl/>
      <w:suff w:val="space"/>
      <w:lvlText w:val="%2"/>
      <w:lvlJc w:val="left"/>
      <w:pPr>
        <w:ind w:left="0" w:firstLine="0"/>
      </w:pPr>
    </w:lvl>
    <w:lvl w:ilvl="2" w:tentative="0">
      <w:start w:val="1"/>
      <w:numFmt w:val="decimal"/>
      <w:isLgl/>
      <w:suff w:val="space"/>
      <w:lvlText w:val="%2.%3"/>
      <w:lvlJc w:val="left"/>
      <w:pPr>
        <w:ind w:left="0" w:firstLine="0"/>
      </w:pPr>
      <w:rPr>
        <w:b/>
        <w:bCs/>
      </w:rPr>
    </w:lvl>
    <w:lvl w:ilvl="3" w:tentative="0">
      <w:start w:val="1"/>
      <w:numFmt w:val="decimal"/>
      <w:isLgl/>
      <w:suff w:val="space"/>
      <w:lvlText w:val="%2.%3.%4"/>
      <w:lvlJc w:val="left"/>
      <w:pPr>
        <w:ind w:left="0" w:firstLine="0"/>
      </w:pPr>
      <w:rPr>
        <w:rFonts w:hint="default" w:ascii="Times New Roman" w:hAnsi="Times New Roman" w:eastAsia="Tahoma" w:cs="Cambria Math"/>
        <w:b/>
        <w:bCs w:val="0"/>
        <w:i w:val="0"/>
        <w:sz w:val="24"/>
        <w:lang w:val="en-US"/>
      </w:rPr>
    </w:lvl>
    <w:lvl w:ilvl="4" w:tentative="0">
      <w:start w:val="1"/>
      <w:numFmt w:val="decimal"/>
      <w:isLgl/>
      <w:suff w:val="space"/>
      <w:lvlText w:val="%2.%3.%4.%5"/>
      <w:lvlJc w:val="left"/>
      <w:pPr>
        <w:ind w:left="0" w:firstLine="0"/>
      </w:pPr>
      <w:rPr>
        <w:rFonts w:hint="default" w:ascii="Times New Roman" w:hAnsi="Times New Roman" w:eastAsia="Tahoma" w:cs="Cambria Math"/>
        <w:b/>
        <w:bCs/>
        <w:i w:val="0"/>
        <w:iCs w:val="0"/>
        <w:caps w:val="0"/>
        <w:smallCaps w:val="0"/>
        <w:strike w:val="0"/>
        <w:dstrike w:val="0"/>
        <w:vanish w:val="0"/>
        <w:spacing w:val="0"/>
        <w:position w:val="0"/>
        <w:u w:val="none"/>
        <w:vertAlign w:val="baseline"/>
      </w:rPr>
    </w:lvl>
    <w:lvl w:ilvl="5" w:tentative="0">
      <w:start w:val="1"/>
      <w:numFmt w:val="decimal"/>
      <w:suff w:val="space"/>
      <w:lvlText w:val="%2.%3.%4.%5.%6"/>
      <w:lvlJc w:val="left"/>
      <w:pPr>
        <w:ind w:left="0" w:firstLine="0"/>
      </w:pPr>
      <w:rPr>
        <w:rFonts w:hint="default" w:ascii="Times New Roman" w:hAnsi="Times New Roman" w:eastAsia="Tahoma" w:cs="Times New Roman"/>
        <w:b/>
        <w:i w:val="0"/>
        <w:sz w:val="24"/>
        <w:szCs w:val="22"/>
      </w:rPr>
    </w:lvl>
    <w:lvl w:ilvl="6" w:tentative="0">
      <w:start w:val="1"/>
      <w:numFmt w:val="decimal"/>
      <w:suff w:val="space"/>
      <w:lvlText w:val="%2.%3.%4.%5.%7"/>
      <w:lvlJc w:val="left"/>
      <w:pPr>
        <w:ind w:left="0" w:firstLine="0"/>
      </w:pPr>
      <w:rPr>
        <w:rFonts w:hint="eastAsia" w:ascii="宋体" w:hAnsi="宋体" w:eastAsia="宋体" w:cs="Cambria Math"/>
        <w:i w:val="0"/>
        <w:iCs w:val="0"/>
        <w:caps w:val="0"/>
        <w:smallCaps w:val="0"/>
        <w:strike w:val="0"/>
        <w:dstrike w:val="0"/>
        <w:vanish w:val="0"/>
        <w:spacing w:val="0"/>
        <w:position w:val="0"/>
        <w:u w:val="none"/>
        <w:vertAlign w:val="baseline"/>
      </w:rPr>
    </w:lvl>
    <w:lvl w:ilvl="7" w:tentative="0">
      <w:start w:val="1"/>
      <w:numFmt w:val="decimal"/>
      <w:lvlRestart w:val="2"/>
      <w:suff w:val="nothing"/>
      <w:lvlText w:val="表%2.%3-%8   "/>
      <w:lvlJc w:val="left"/>
      <w:pPr>
        <w:ind w:left="0" w:firstLine="0"/>
      </w:pPr>
      <w:rPr>
        <w:rFonts w:hint="default" w:ascii="Cambria Math" w:hAnsi="Cambria Math" w:eastAsia="Tahoma"/>
        <w:sz w:val="21"/>
      </w:rPr>
    </w:lvl>
    <w:lvl w:ilvl="8" w:tentative="0">
      <w:start w:val="1"/>
      <w:numFmt w:val="decimal"/>
      <w:lvlRestart w:val="2"/>
      <w:suff w:val="nothing"/>
      <w:lvlText w:val="图%2.%3-%9   "/>
      <w:lvlJc w:val="left"/>
      <w:pPr>
        <w:ind w:left="3686" w:firstLine="0"/>
      </w:pPr>
      <w:rPr>
        <w:rFonts w:hint="default" w:ascii="Cambria Math" w:hAnsi="Cambria Math" w:eastAsia="Arial"/>
        <w:sz w:val="21"/>
      </w:rPr>
    </w:lvl>
  </w:abstractNum>
  <w:abstractNum w:abstractNumId="4">
    <w:nsid w:val="60E7DDDD"/>
    <w:multiLevelType w:val="singleLevel"/>
    <w:tmpl w:val="60E7DDDD"/>
    <w:lvl w:ilvl="0" w:tentative="0">
      <w:start w:val="1"/>
      <w:numFmt w:val="chineseCountingThousand"/>
      <w:pStyle w:val="24"/>
      <w:lvlText w:val="%1、"/>
      <w:lvlJc w:val="left"/>
      <w:pPr>
        <w:ind w:left="420" w:hanging="420"/>
      </w:pPr>
    </w:lvl>
  </w:abstractNum>
  <w:num w:numId="1">
    <w:abstractNumId w:val="3"/>
  </w:num>
  <w:num w:numId="2">
    <w:abstractNumId w:val="1"/>
  </w:num>
  <w:num w:numId="3">
    <w:abstractNumId w:val="2"/>
    <w:lvlOverride w:ilvl="0">
      <w:lvl w:ilvl="0" w:tentative="1">
        <w:start w:val="1"/>
        <w:numFmt w:val="chineseCountingThousand"/>
        <w:suff w:val="space"/>
        <w:lvlText w:val="第%1章"/>
        <w:lvlJc w:val="center"/>
        <w:pPr>
          <w:ind w:left="2268" w:firstLine="0"/>
        </w:pPr>
        <w:rPr>
          <w:rFonts w:hint="default"/>
          <w:b/>
          <w:i w:val="0"/>
          <w:sz w:val="32"/>
          <w:szCs w:val="32"/>
        </w:rPr>
      </w:lvl>
    </w:lvlOverride>
    <w:lvlOverride w:ilvl="1">
      <w:lvl w:ilvl="1" w:tentative="1">
        <w:start w:val="1"/>
        <w:numFmt w:val="decimal"/>
        <w:isLgl/>
        <w:suff w:val="space"/>
        <w:lvlText w:val="%2"/>
        <w:lvlJc w:val="left"/>
        <w:pPr>
          <w:ind w:left="0" w:firstLine="0"/>
        </w:pPr>
      </w:lvl>
    </w:lvlOverride>
    <w:lvlOverride w:ilvl="2">
      <w:lvl w:ilvl="2" w:tentative="1">
        <w:start w:val="1"/>
        <w:numFmt w:val="decimal"/>
        <w:isLgl/>
        <w:suff w:val="space"/>
        <w:lvlText w:val="%2.%3"/>
        <w:lvlJc w:val="left"/>
        <w:pPr>
          <w:ind w:left="0" w:firstLine="0"/>
        </w:pPr>
        <w:rPr>
          <w:b/>
          <w:bCs/>
        </w:rPr>
      </w:lvl>
    </w:lvlOverride>
    <w:lvlOverride w:ilvl="3">
      <w:lvl w:ilvl="3" w:tentative="1">
        <w:start w:val="1"/>
        <w:numFmt w:val="decimal"/>
        <w:pStyle w:val="5"/>
        <w:isLgl/>
        <w:suff w:val="space"/>
        <w:lvlText w:val="%2.%3.%4"/>
        <w:lvlJc w:val="left"/>
        <w:pPr>
          <w:ind w:left="0" w:firstLine="0"/>
        </w:pPr>
        <w:rPr>
          <w:rFonts w:hint="default" w:ascii="Times New Roman" w:hAnsi="Times New Roman" w:eastAsia="Tahoma" w:cs="Cambria Math"/>
          <w:b/>
          <w:bCs w:val="0"/>
          <w:i w:val="0"/>
          <w:sz w:val="24"/>
          <w:lang w:val="en-US"/>
        </w:rPr>
      </w:lvl>
    </w:lvlOverride>
    <w:lvlOverride w:ilvl="4">
      <w:lvl w:ilvl="4" w:tentative="1">
        <w:start w:val="1"/>
        <w:numFmt w:val="decimal"/>
        <w:isLgl/>
        <w:suff w:val="space"/>
        <w:lvlText w:val="%2.%3.%4.%5"/>
        <w:lvlJc w:val="left"/>
        <w:pPr>
          <w:ind w:left="0" w:firstLine="0"/>
        </w:pPr>
        <w:rPr>
          <w:rFonts w:hint="default" w:ascii="Times New Roman" w:hAnsi="Times New Roman" w:eastAsia="Tahoma" w:cs="Cambria Math"/>
          <w:b/>
          <w:bCs/>
          <w:i w:val="0"/>
          <w:iCs w:val="0"/>
          <w:caps w:val="0"/>
          <w:smallCaps w:val="0"/>
          <w:strike w:val="0"/>
          <w:dstrike w:val="0"/>
          <w:vanish w:val="0"/>
          <w:spacing w:val="0"/>
          <w:position w:val="0"/>
          <w:u w:val="none"/>
          <w:vertAlign w:val="baseline"/>
        </w:rPr>
      </w:lvl>
    </w:lvlOverride>
    <w:lvlOverride w:ilvl="5">
      <w:lvl w:ilvl="5" w:tentative="1">
        <w:start w:val="1"/>
        <w:numFmt w:val="decimal"/>
        <w:suff w:val="space"/>
        <w:lvlText w:val="%2.%3.%4.%5.%6"/>
        <w:lvlJc w:val="left"/>
        <w:pPr>
          <w:ind w:left="0" w:firstLine="0"/>
        </w:pPr>
        <w:rPr>
          <w:rFonts w:hint="default" w:ascii="Times New Roman" w:hAnsi="Times New Roman" w:eastAsia="Tahoma" w:cs="Times New Roman"/>
          <w:b/>
          <w:i w:val="0"/>
          <w:sz w:val="24"/>
          <w:szCs w:val="22"/>
        </w:rPr>
      </w:lvl>
    </w:lvlOverride>
    <w:lvlOverride w:ilvl="6">
      <w:lvl w:ilvl="6" w:tentative="1">
        <w:start w:val="1"/>
        <w:numFmt w:val="decimal"/>
        <w:suff w:val="space"/>
        <w:lvlText w:val="%2.%3.%4.%5.%7"/>
        <w:lvlJc w:val="left"/>
        <w:pPr>
          <w:ind w:left="0" w:firstLine="0"/>
        </w:pPr>
        <w:rPr>
          <w:rFonts w:hint="eastAsia" w:ascii="Cambria Math" w:hAnsi="Cambria Math" w:cs="Cambria Math"/>
          <w:i w:val="0"/>
          <w:iCs w:val="0"/>
          <w:caps w:val="0"/>
          <w:smallCaps w:val="0"/>
          <w:strike w:val="0"/>
          <w:dstrike w:val="0"/>
          <w:vanish w:val="0"/>
          <w:spacing w:val="0"/>
          <w:position w:val="0"/>
          <w:u w:val="none"/>
          <w:vertAlign w:val="baseline"/>
        </w:rPr>
      </w:lvl>
    </w:lvlOverride>
    <w:lvlOverride w:ilvl="7">
      <w:lvl w:ilvl="7" w:tentative="1">
        <w:start w:val="1"/>
        <w:numFmt w:val="decimal"/>
        <w:lvlRestart w:val="2"/>
        <w:suff w:val="nothing"/>
        <w:lvlText w:val="表%2.%3-%8   "/>
        <w:lvlJc w:val="left"/>
        <w:pPr>
          <w:ind w:left="0" w:firstLine="0"/>
        </w:pPr>
        <w:rPr>
          <w:rFonts w:hint="default" w:ascii="Cambria Math" w:hAnsi="Cambria Math" w:eastAsia="Tahoma"/>
          <w:sz w:val="21"/>
        </w:rPr>
      </w:lvl>
    </w:lvlOverride>
    <w:lvlOverride w:ilvl="8">
      <w:lvl w:ilvl="8" w:tentative="1">
        <w:start w:val="1"/>
        <w:numFmt w:val="decimal"/>
        <w:lvlRestart w:val="2"/>
        <w:suff w:val="nothing"/>
        <w:lvlText w:val="图%2.%3-%9   "/>
        <w:lvlJc w:val="left"/>
        <w:pPr>
          <w:ind w:left="3686" w:firstLine="0"/>
        </w:pPr>
        <w:rPr>
          <w:rFonts w:hint="default" w:ascii="Cambria Math" w:hAnsi="Cambria Math" w:eastAsia="Arial"/>
          <w:sz w:val="21"/>
        </w:rPr>
      </w:lvl>
    </w:lvlOverride>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0NGYzY2NjYjgxZGFmMzhhNDAzYjk2NmIxZDE2MDgifQ=="/>
  </w:docVars>
  <w:rsids>
    <w:rsidRoot w:val="0067162C"/>
    <w:rsid w:val="00003894"/>
    <w:rsid w:val="00086DD9"/>
    <w:rsid w:val="000A7B39"/>
    <w:rsid w:val="000B2DBB"/>
    <w:rsid w:val="000C5509"/>
    <w:rsid w:val="0011197F"/>
    <w:rsid w:val="00115F53"/>
    <w:rsid w:val="00122D7D"/>
    <w:rsid w:val="001306F3"/>
    <w:rsid w:val="00132DE9"/>
    <w:rsid w:val="00140872"/>
    <w:rsid w:val="001906E4"/>
    <w:rsid w:val="001A14B9"/>
    <w:rsid w:val="001C5BEE"/>
    <w:rsid w:val="001D4C59"/>
    <w:rsid w:val="00212B7B"/>
    <w:rsid w:val="00241067"/>
    <w:rsid w:val="00300CFA"/>
    <w:rsid w:val="00342FC8"/>
    <w:rsid w:val="00353A9E"/>
    <w:rsid w:val="00357A49"/>
    <w:rsid w:val="003612E3"/>
    <w:rsid w:val="003706F9"/>
    <w:rsid w:val="00373E81"/>
    <w:rsid w:val="003A6D1B"/>
    <w:rsid w:val="003C74C0"/>
    <w:rsid w:val="003F5E1A"/>
    <w:rsid w:val="00423C69"/>
    <w:rsid w:val="00434E8B"/>
    <w:rsid w:val="004369CB"/>
    <w:rsid w:val="00455DFF"/>
    <w:rsid w:val="00484205"/>
    <w:rsid w:val="0049061C"/>
    <w:rsid w:val="005156C7"/>
    <w:rsid w:val="005445EF"/>
    <w:rsid w:val="00552CC7"/>
    <w:rsid w:val="0057340C"/>
    <w:rsid w:val="005B1367"/>
    <w:rsid w:val="005B2E73"/>
    <w:rsid w:val="005E10AA"/>
    <w:rsid w:val="005E66E3"/>
    <w:rsid w:val="00651110"/>
    <w:rsid w:val="00652306"/>
    <w:rsid w:val="006525EF"/>
    <w:rsid w:val="0067162C"/>
    <w:rsid w:val="00671C39"/>
    <w:rsid w:val="006958CC"/>
    <w:rsid w:val="006B74D1"/>
    <w:rsid w:val="006C7581"/>
    <w:rsid w:val="006D2925"/>
    <w:rsid w:val="006F2422"/>
    <w:rsid w:val="00701718"/>
    <w:rsid w:val="00745C8B"/>
    <w:rsid w:val="00785C3C"/>
    <w:rsid w:val="007A796D"/>
    <w:rsid w:val="007F41BD"/>
    <w:rsid w:val="00805444"/>
    <w:rsid w:val="0082460D"/>
    <w:rsid w:val="0084193F"/>
    <w:rsid w:val="008564C0"/>
    <w:rsid w:val="00880F44"/>
    <w:rsid w:val="008C5143"/>
    <w:rsid w:val="008F4DDB"/>
    <w:rsid w:val="00910456"/>
    <w:rsid w:val="00980FAC"/>
    <w:rsid w:val="00997D30"/>
    <w:rsid w:val="00997E5F"/>
    <w:rsid w:val="009B7E20"/>
    <w:rsid w:val="00A22015"/>
    <w:rsid w:val="00A26720"/>
    <w:rsid w:val="00A303A3"/>
    <w:rsid w:val="00A410EE"/>
    <w:rsid w:val="00A54C94"/>
    <w:rsid w:val="00A74762"/>
    <w:rsid w:val="00B058E7"/>
    <w:rsid w:val="00B14E5A"/>
    <w:rsid w:val="00B52870"/>
    <w:rsid w:val="00B86B3E"/>
    <w:rsid w:val="00BD7BC4"/>
    <w:rsid w:val="00CD1059"/>
    <w:rsid w:val="00CD3D73"/>
    <w:rsid w:val="00D176FC"/>
    <w:rsid w:val="00D4280D"/>
    <w:rsid w:val="00D61CB0"/>
    <w:rsid w:val="00D71C61"/>
    <w:rsid w:val="00DD38C8"/>
    <w:rsid w:val="00DD78A5"/>
    <w:rsid w:val="00E0168F"/>
    <w:rsid w:val="00E54C38"/>
    <w:rsid w:val="00E60A9C"/>
    <w:rsid w:val="00E97932"/>
    <w:rsid w:val="00ED1326"/>
    <w:rsid w:val="00EE3F91"/>
    <w:rsid w:val="00F66C17"/>
    <w:rsid w:val="00F740B0"/>
    <w:rsid w:val="013D76D6"/>
    <w:rsid w:val="014A3A81"/>
    <w:rsid w:val="015E2504"/>
    <w:rsid w:val="016664F6"/>
    <w:rsid w:val="01D86637"/>
    <w:rsid w:val="01F176F8"/>
    <w:rsid w:val="020D5982"/>
    <w:rsid w:val="024261A6"/>
    <w:rsid w:val="02427D29"/>
    <w:rsid w:val="028767CC"/>
    <w:rsid w:val="02A1111E"/>
    <w:rsid w:val="03047FCC"/>
    <w:rsid w:val="0338740A"/>
    <w:rsid w:val="033E3663"/>
    <w:rsid w:val="035621FD"/>
    <w:rsid w:val="03705C84"/>
    <w:rsid w:val="04607DD8"/>
    <w:rsid w:val="047924AF"/>
    <w:rsid w:val="048E5F99"/>
    <w:rsid w:val="04A44EF6"/>
    <w:rsid w:val="05025509"/>
    <w:rsid w:val="053973EC"/>
    <w:rsid w:val="057E542C"/>
    <w:rsid w:val="058C7E64"/>
    <w:rsid w:val="06FE40C8"/>
    <w:rsid w:val="072476B5"/>
    <w:rsid w:val="07391925"/>
    <w:rsid w:val="07442078"/>
    <w:rsid w:val="075F32F3"/>
    <w:rsid w:val="078A31BD"/>
    <w:rsid w:val="07C531B9"/>
    <w:rsid w:val="07CF245D"/>
    <w:rsid w:val="07E36CAC"/>
    <w:rsid w:val="07E9447F"/>
    <w:rsid w:val="082326F1"/>
    <w:rsid w:val="082E14F6"/>
    <w:rsid w:val="08931509"/>
    <w:rsid w:val="08DD44C0"/>
    <w:rsid w:val="08DF02AB"/>
    <w:rsid w:val="08E245DE"/>
    <w:rsid w:val="08E91129"/>
    <w:rsid w:val="092F2329"/>
    <w:rsid w:val="09414AC1"/>
    <w:rsid w:val="095011A8"/>
    <w:rsid w:val="09B01C47"/>
    <w:rsid w:val="09CD45A7"/>
    <w:rsid w:val="09D41DD9"/>
    <w:rsid w:val="0A1B5312"/>
    <w:rsid w:val="0A6432BA"/>
    <w:rsid w:val="0A6F1B02"/>
    <w:rsid w:val="0A83766B"/>
    <w:rsid w:val="0AA51E31"/>
    <w:rsid w:val="0AB539B9"/>
    <w:rsid w:val="0AD656DD"/>
    <w:rsid w:val="0ADD3DA8"/>
    <w:rsid w:val="0AE41BA8"/>
    <w:rsid w:val="0AEF35DA"/>
    <w:rsid w:val="0B014415"/>
    <w:rsid w:val="0B3862C7"/>
    <w:rsid w:val="0B41349E"/>
    <w:rsid w:val="0B424B21"/>
    <w:rsid w:val="0B84338B"/>
    <w:rsid w:val="0B955598"/>
    <w:rsid w:val="0BBE4AEF"/>
    <w:rsid w:val="0BD04822"/>
    <w:rsid w:val="0BE56CB4"/>
    <w:rsid w:val="0BEB3880"/>
    <w:rsid w:val="0C566AD6"/>
    <w:rsid w:val="0D1150F2"/>
    <w:rsid w:val="0D71793F"/>
    <w:rsid w:val="0D8256A8"/>
    <w:rsid w:val="0D887D5E"/>
    <w:rsid w:val="0D927FE1"/>
    <w:rsid w:val="0E0B723B"/>
    <w:rsid w:val="0E273140"/>
    <w:rsid w:val="0E29532A"/>
    <w:rsid w:val="0E2A021A"/>
    <w:rsid w:val="0E370B89"/>
    <w:rsid w:val="0E63197E"/>
    <w:rsid w:val="0E6B438E"/>
    <w:rsid w:val="0E813BB2"/>
    <w:rsid w:val="0E9E6512"/>
    <w:rsid w:val="0F2742F1"/>
    <w:rsid w:val="0F664E8A"/>
    <w:rsid w:val="0F751969"/>
    <w:rsid w:val="0F9242C9"/>
    <w:rsid w:val="0FC90832"/>
    <w:rsid w:val="0FE01ABB"/>
    <w:rsid w:val="100C4A64"/>
    <w:rsid w:val="10142F30"/>
    <w:rsid w:val="10505FAA"/>
    <w:rsid w:val="107E484D"/>
    <w:rsid w:val="108160EB"/>
    <w:rsid w:val="10963528"/>
    <w:rsid w:val="10AA3894"/>
    <w:rsid w:val="10C364C5"/>
    <w:rsid w:val="11895257"/>
    <w:rsid w:val="12080872"/>
    <w:rsid w:val="122100C4"/>
    <w:rsid w:val="12293277"/>
    <w:rsid w:val="12704D54"/>
    <w:rsid w:val="12837EF9"/>
    <w:rsid w:val="12CC4D44"/>
    <w:rsid w:val="12F323D9"/>
    <w:rsid w:val="13023513"/>
    <w:rsid w:val="13AC347F"/>
    <w:rsid w:val="13CB5FFB"/>
    <w:rsid w:val="13F12091"/>
    <w:rsid w:val="142301CF"/>
    <w:rsid w:val="1441006B"/>
    <w:rsid w:val="14553B17"/>
    <w:rsid w:val="146C5FA5"/>
    <w:rsid w:val="14DB226E"/>
    <w:rsid w:val="1524326A"/>
    <w:rsid w:val="154E454C"/>
    <w:rsid w:val="154F67B8"/>
    <w:rsid w:val="156D4E90"/>
    <w:rsid w:val="15A57A97"/>
    <w:rsid w:val="17233A97"/>
    <w:rsid w:val="17377504"/>
    <w:rsid w:val="17872239"/>
    <w:rsid w:val="17B60D70"/>
    <w:rsid w:val="17F7713F"/>
    <w:rsid w:val="17F81389"/>
    <w:rsid w:val="18047D2E"/>
    <w:rsid w:val="182F0998"/>
    <w:rsid w:val="18650227"/>
    <w:rsid w:val="1883386F"/>
    <w:rsid w:val="18EB7180"/>
    <w:rsid w:val="19045B0B"/>
    <w:rsid w:val="19257F5C"/>
    <w:rsid w:val="1951048C"/>
    <w:rsid w:val="19B24491"/>
    <w:rsid w:val="19C71013"/>
    <w:rsid w:val="19E55758"/>
    <w:rsid w:val="19F65454"/>
    <w:rsid w:val="1A3D1AD9"/>
    <w:rsid w:val="1A450189"/>
    <w:rsid w:val="1A8B7005"/>
    <w:rsid w:val="1AA9696A"/>
    <w:rsid w:val="1AC47300"/>
    <w:rsid w:val="1ACD2659"/>
    <w:rsid w:val="1AEF6A73"/>
    <w:rsid w:val="1B1833A9"/>
    <w:rsid w:val="1BA22ED2"/>
    <w:rsid w:val="1BD23C9F"/>
    <w:rsid w:val="1BD9502D"/>
    <w:rsid w:val="1BE51C24"/>
    <w:rsid w:val="1C215639"/>
    <w:rsid w:val="1C940F54"/>
    <w:rsid w:val="1CC47A8B"/>
    <w:rsid w:val="1D192FFA"/>
    <w:rsid w:val="1D230C56"/>
    <w:rsid w:val="1D61177E"/>
    <w:rsid w:val="1D634930"/>
    <w:rsid w:val="1D846B90"/>
    <w:rsid w:val="1D864D41"/>
    <w:rsid w:val="1D883551"/>
    <w:rsid w:val="1DA974BD"/>
    <w:rsid w:val="1DD41E7A"/>
    <w:rsid w:val="1DDE692B"/>
    <w:rsid w:val="1E650DFA"/>
    <w:rsid w:val="1F2B3DF2"/>
    <w:rsid w:val="1F89210E"/>
    <w:rsid w:val="1FAF4A23"/>
    <w:rsid w:val="1FC41B50"/>
    <w:rsid w:val="200F53D1"/>
    <w:rsid w:val="204131A1"/>
    <w:rsid w:val="212B632B"/>
    <w:rsid w:val="21494A03"/>
    <w:rsid w:val="21BF7B11"/>
    <w:rsid w:val="21CE3B66"/>
    <w:rsid w:val="220628F4"/>
    <w:rsid w:val="22405E06"/>
    <w:rsid w:val="225E4170"/>
    <w:rsid w:val="22C32593"/>
    <w:rsid w:val="22C62EAB"/>
    <w:rsid w:val="22C95DFC"/>
    <w:rsid w:val="238F5B31"/>
    <w:rsid w:val="23971A56"/>
    <w:rsid w:val="239D28E7"/>
    <w:rsid w:val="23BC49B1"/>
    <w:rsid w:val="23D121BC"/>
    <w:rsid w:val="23DA5DE6"/>
    <w:rsid w:val="23E911A2"/>
    <w:rsid w:val="24092228"/>
    <w:rsid w:val="24397EB7"/>
    <w:rsid w:val="244D65B8"/>
    <w:rsid w:val="24793926"/>
    <w:rsid w:val="248A5117"/>
    <w:rsid w:val="24A42D83"/>
    <w:rsid w:val="24D40A88"/>
    <w:rsid w:val="24F609FE"/>
    <w:rsid w:val="255045B2"/>
    <w:rsid w:val="25A201EA"/>
    <w:rsid w:val="25AC5561"/>
    <w:rsid w:val="25DD2A94"/>
    <w:rsid w:val="25EB42DB"/>
    <w:rsid w:val="265359DC"/>
    <w:rsid w:val="26B23600"/>
    <w:rsid w:val="273B6B9C"/>
    <w:rsid w:val="275C3465"/>
    <w:rsid w:val="27631ADB"/>
    <w:rsid w:val="27C76682"/>
    <w:rsid w:val="27E23613"/>
    <w:rsid w:val="27E40FE2"/>
    <w:rsid w:val="28170FA1"/>
    <w:rsid w:val="283E4055"/>
    <w:rsid w:val="284D1D08"/>
    <w:rsid w:val="289522DC"/>
    <w:rsid w:val="28C349D2"/>
    <w:rsid w:val="28FB3514"/>
    <w:rsid w:val="290B259E"/>
    <w:rsid w:val="29416079"/>
    <w:rsid w:val="29A46C7B"/>
    <w:rsid w:val="29BA649E"/>
    <w:rsid w:val="2A44045E"/>
    <w:rsid w:val="2A4E29F4"/>
    <w:rsid w:val="2A500BB0"/>
    <w:rsid w:val="2A816FBC"/>
    <w:rsid w:val="2AA8279A"/>
    <w:rsid w:val="2AD90BA6"/>
    <w:rsid w:val="2B473D61"/>
    <w:rsid w:val="2B9C0922"/>
    <w:rsid w:val="2BAE2033"/>
    <w:rsid w:val="2BAF7DBD"/>
    <w:rsid w:val="2BBE2429"/>
    <w:rsid w:val="2BE76FFA"/>
    <w:rsid w:val="2BE772F2"/>
    <w:rsid w:val="2C365B84"/>
    <w:rsid w:val="2C683C29"/>
    <w:rsid w:val="2C9C42D9"/>
    <w:rsid w:val="2CFF5663"/>
    <w:rsid w:val="2D2D6F87"/>
    <w:rsid w:val="2D9D5DDA"/>
    <w:rsid w:val="2DB84BC4"/>
    <w:rsid w:val="2DC25921"/>
    <w:rsid w:val="2DCC2C44"/>
    <w:rsid w:val="2E24482E"/>
    <w:rsid w:val="2EB15996"/>
    <w:rsid w:val="2EEB534C"/>
    <w:rsid w:val="2EF93327"/>
    <w:rsid w:val="2F150F36"/>
    <w:rsid w:val="2F6A2714"/>
    <w:rsid w:val="2F6F7D2B"/>
    <w:rsid w:val="306058C5"/>
    <w:rsid w:val="30654512"/>
    <w:rsid w:val="306E7FE2"/>
    <w:rsid w:val="306F3931"/>
    <w:rsid w:val="30AC78FD"/>
    <w:rsid w:val="30BA6EE7"/>
    <w:rsid w:val="313D74B6"/>
    <w:rsid w:val="31B576F3"/>
    <w:rsid w:val="31C629B8"/>
    <w:rsid w:val="31D976DD"/>
    <w:rsid w:val="323D5EBE"/>
    <w:rsid w:val="32717916"/>
    <w:rsid w:val="329A2464"/>
    <w:rsid w:val="32B731F8"/>
    <w:rsid w:val="33264BA4"/>
    <w:rsid w:val="336E3E55"/>
    <w:rsid w:val="33C65A3F"/>
    <w:rsid w:val="341E7629"/>
    <w:rsid w:val="34360E17"/>
    <w:rsid w:val="343C14CF"/>
    <w:rsid w:val="344A76BE"/>
    <w:rsid w:val="344B3FBD"/>
    <w:rsid w:val="348A2F11"/>
    <w:rsid w:val="355344E3"/>
    <w:rsid w:val="35761EDF"/>
    <w:rsid w:val="35887450"/>
    <w:rsid w:val="35D46B3A"/>
    <w:rsid w:val="363B44C3"/>
    <w:rsid w:val="36405F7D"/>
    <w:rsid w:val="36637746"/>
    <w:rsid w:val="367F1BF1"/>
    <w:rsid w:val="36981915"/>
    <w:rsid w:val="3699568D"/>
    <w:rsid w:val="36F31241"/>
    <w:rsid w:val="370838C5"/>
    <w:rsid w:val="37367E0C"/>
    <w:rsid w:val="374750E9"/>
    <w:rsid w:val="37FB65FF"/>
    <w:rsid w:val="382947EF"/>
    <w:rsid w:val="382D42DF"/>
    <w:rsid w:val="38795776"/>
    <w:rsid w:val="391B0D76"/>
    <w:rsid w:val="39454945"/>
    <w:rsid w:val="397653E2"/>
    <w:rsid w:val="398E2027"/>
    <w:rsid w:val="39ED1F78"/>
    <w:rsid w:val="3A0948D8"/>
    <w:rsid w:val="3A296D28"/>
    <w:rsid w:val="3A4F4B21"/>
    <w:rsid w:val="3ACC5F99"/>
    <w:rsid w:val="3AEA64B7"/>
    <w:rsid w:val="3B1F2605"/>
    <w:rsid w:val="3B7A5A8D"/>
    <w:rsid w:val="3B8162BF"/>
    <w:rsid w:val="3BB86370"/>
    <w:rsid w:val="3BC07357"/>
    <w:rsid w:val="3BC51D42"/>
    <w:rsid w:val="3C4E7F1D"/>
    <w:rsid w:val="3C577B7C"/>
    <w:rsid w:val="3C6B4BC6"/>
    <w:rsid w:val="3CA6640B"/>
    <w:rsid w:val="3CAF1767"/>
    <w:rsid w:val="3CBD7574"/>
    <w:rsid w:val="3CE31410"/>
    <w:rsid w:val="3CE77152"/>
    <w:rsid w:val="3D0E357C"/>
    <w:rsid w:val="3D2C1009"/>
    <w:rsid w:val="3D4C19E2"/>
    <w:rsid w:val="3D6562C9"/>
    <w:rsid w:val="3D6E48A5"/>
    <w:rsid w:val="3DF80EEB"/>
    <w:rsid w:val="3E4405D4"/>
    <w:rsid w:val="3E6E11AD"/>
    <w:rsid w:val="3EC86B10"/>
    <w:rsid w:val="3F0538C0"/>
    <w:rsid w:val="3F4D1258"/>
    <w:rsid w:val="3F7942AE"/>
    <w:rsid w:val="3F9115F7"/>
    <w:rsid w:val="3FDD2A8F"/>
    <w:rsid w:val="3FE07E89"/>
    <w:rsid w:val="400E2C48"/>
    <w:rsid w:val="40363F4D"/>
    <w:rsid w:val="403A3A3D"/>
    <w:rsid w:val="40B90E06"/>
    <w:rsid w:val="41177224"/>
    <w:rsid w:val="41287D39"/>
    <w:rsid w:val="41406E31"/>
    <w:rsid w:val="416949F0"/>
    <w:rsid w:val="4219012C"/>
    <w:rsid w:val="42366486"/>
    <w:rsid w:val="42404E3E"/>
    <w:rsid w:val="42450AD7"/>
    <w:rsid w:val="424B3CDF"/>
    <w:rsid w:val="42646CE8"/>
    <w:rsid w:val="42702814"/>
    <w:rsid w:val="42957651"/>
    <w:rsid w:val="429C278D"/>
    <w:rsid w:val="42D15A3B"/>
    <w:rsid w:val="42D87A3F"/>
    <w:rsid w:val="43256DF8"/>
    <w:rsid w:val="43943464"/>
    <w:rsid w:val="43997A08"/>
    <w:rsid w:val="43D9531B"/>
    <w:rsid w:val="43F92DD9"/>
    <w:rsid w:val="440525B4"/>
    <w:rsid w:val="4470157F"/>
    <w:rsid w:val="449B53D1"/>
    <w:rsid w:val="44B813D4"/>
    <w:rsid w:val="44E81CBA"/>
    <w:rsid w:val="4508235C"/>
    <w:rsid w:val="45774DEB"/>
    <w:rsid w:val="459F064A"/>
    <w:rsid w:val="45A41335"/>
    <w:rsid w:val="45B1654F"/>
    <w:rsid w:val="45CA09C4"/>
    <w:rsid w:val="46252A99"/>
    <w:rsid w:val="46454EEA"/>
    <w:rsid w:val="46AE0CE1"/>
    <w:rsid w:val="46B05AC2"/>
    <w:rsid w:val="4722443E"/>
    <w:rsid w:val="47617B01"/>
    <w:rsid w:val="47924093"/>
    <w:rsid w:val="484418FD"/>
    <w:rsid w:val="48474F49"/>
    <w:rsid w:val="48645AFB"/>
    <w:rsid w:val="48825F81"/>
    <w:rsid w:val="48F549A5"/>
    <w:rsid w:val="49214B30"/>
    <w:rsid w:val="499D59D5"/>
    <w:rsid w:val="49BB4260"/>
    <w:rsid w:val="49BC038F"/>
    <w:rsid w:val="49FB302B"/>
    <w:rsid w:val="4A0A0924"/>
    <w:rsid w:val="4A6A13C3"/>
    <w:rsid w:val="4A742241"/>
    <w:rsid w:val="4A8E50B1"/>
    <w:rsid w:val="4A94568E"/>
    <w:rsid w:val="4AC22FAD"/>
    <w:rsid w:val="4B1A4B97"/>
    <w:rsid w:val="4B3F2425"/>
    <w:rsid w:val="4B553124"/>
    <w:rsid w:val="4B5A1437"/>
    <w:rsid w:val="4B726781"/>
    <w:rsid w:val="4BAE7138"/>
    <w:rsid w:val="4BF929FE"/>
    <w:rsid w:val="4C130B7A"/>
    <w:rsid w:val="4C2537F3"/>
    <w:rsid w:val="4C3C694F"/>
    <w:rsid w:val="4C755810"/>
    <w:rsid w:val="4C8061AE"/>
    <w:rsid w:val="4CDB65A8"/>
    <w:rsid w:val="4CEA2347"/>
    <w:rsid w:val="4D206751"/>
    <w:rsid w:val="4D553C64"/>
    <w:rsid w:val="4DD36F52"/>
    <w:rsid w:val="4DF118DC"/>
    <w:rsid w:val="4E6C395B"/>
    <w:rsid w:val="4EA85F59"/>
    <w:rsid w:val="4EB613DA"/>
    <w:rsid w:val="4EC07803"/>
    <w:rsid w:val="4EC36842"/>
    <w:rsid w:val="4EF15C0F"/>
    <w:rsid w:val="4EF63225"/>
    <w:rsid w:val="4F0D64AE"/>
    <w:rsid w:val="4F2558B8"/>
    <w:rsid w:val="4F361873"/>
    <w:rsid w:val="4F6C38DD"/>
    <w:rsid w:val="4F9B5B7A"/>
    <w:rsid w:val="504D156B"/>
    <w:rsid w:val="50627285"/>
    <w:rsid w:val="509E3B74"/>
    <w:rsid w:val="50F55F60"/>
    <w:rsid w:val="510D2AA8"/>
    <w:rsid w:val="512963B4"/>
    <w:rsid w:val="519D5BDA"/>
    <w:rsid w:val="51C77322"/>
    <w:rsid w:val="51FB0B52"/>
    <w:rsid w:val="521210AD"/>
    <w:rsid w:val="526F6A00"/>
    <w:rsid w:val="52BA4079"/>
    <w:rsid w:val="52C9540D"/>
    <w:rsid w:val="530A54F1"/>
    <w:rsid w:val="534F5BF3"/>
    <w:rsid w:val="53591FD4"/>
    <w:rsid w:val="53654E1D"/>
    <w:rsid w:val="53EA0E7E"/>
    <w:rsid w:val="53F073D5"/>
    <w:rsid w:val="5408557B"/>
    <w:rsid w:val="543B7015"/>
    <w:rsid w:val="545F0852"/>
    <w:rsid w:val="5479292E"/>
    <w:rsid w:val="54A32305"/>
    <w:rsid w:val="54AE2431"/>
    <w:rsid w:val="54FC530D"/>
    <w:rsid w:val="55473127"/>
    <w:rsid w:val="557D644E"/>
    <w:rsid w:val="557F21C6"/>
    <w:rsid w:val="55D122F6"/>
    <w:rsid w:val="56385484"/>
    <w:rsid w:val="56916CEB"/>
    <w:rsid w:val="569F0646"/>
    <w:rsid w:val="56C36A99"/>
    <w:rsid w:val="56ED315F"/>
    <w:rsid w:val="576F4E59"/>
    <w:rsid w:val="577218B7"/>
    <w:rsid w:val="57C87729"/>
    <w:rsid w:val="58003366"/>
    <w:rsid w:val="582C415B"/>
    <w:rsid w:val="58BF6A66"/>
    <w:rsid w:val="592D3CE7"/>
    <w:rsid w:val="59F0154F"/>
    <w:rsid w:val="5A250E62"/>
    <w:rsid w:val="5A5C0D28"/>
    <w:rsid w:val="5A85323B"/>
    <w:rsid w:val="5A954A0D"/>
    <w:rsid w:val="5A9F28C8"/>
    <w:rsid w:val="5AB256EC"/>
    <w:rsid w:val="5AD47ADD"/>
    <w:rsid w:val="5ADE6535"/>
    <w:rsid w:val="5B172EA1"/>
    <w:rsid w:val="5B2335F4"/>
    <w:rsid w:val="5B61411C"/>
    <w:rsid w:val="5B960D6C"/>
    <w:rsid w:val="5BAD3E21"/>
    <w:rsid w:val="5BD83072"/>
    <w:rsid w:val="5C0F1DCA"/>
    <w:rsid w:val="5C473312"/>
    <w:rsid w:val="5C4F21B0"/>
    <w:rsid w:val="5CD252D1"/>
    <w:rsid w:val="5D3804E1"/>
    <w:rsid w:val="5D79399F"/>
    <w:rsid w:val="5D8C1B97"/>
    <w:rsid w:val="5D99194B"/>
    <w:rsid w:val="5DA0717E"/>
    <w:rsid w:val="5DA123A2"/>
    <w:rsid w:val="5DBC1520"/>
    <w:rsid w:val="5DD56D5D"/>
    <w:rsid w:val="5E0C4813"/>
    <w:rsid w:val="5E7B72A3"/>
    <w:rsid w:val="5EB10F16"/>
    <w:rsid w:val="5EB40087"/>
    <w:rsid w:val="5EBD5B0D"/>
    <w:rsid w:val="5F011F2A"/>
    <w:rsid w:val="5F021156"/>
    <w:rsid w:val="5F4C369D"/>
    <w:rsid w:val="5F546472"/>
    <w:rsid w:val="5F7F0DAA"/>
    <w:rsid w:val="5F8328B3"/>
    <w:rsid w:val="605E6E7C"/>
    <w:rsid w:val="610E2650"/>
    <w:rsid w:val="614C5CD1"/>
    <w:rsid w:val="618E3791"/>
    <w:rsid w:val="619A577F"/>
    <w:rsid w:val="628F156F"/>
    <w:rsid w:val="62A36DC8"/>
    <w:rsid w:val="62DA63F9"/>
    <w:rsid w:val="63161C22"/>
    <w:rsid w:val="63164D16"/>
    <w:rsid w:val="6381193F"/>
    <w:rsid w:val="63A65BE7"/>
    <w:rsid w:val="63B16276"/>
    <w:rsid w:val="63C11BFC"/>
    <w:rsid w:val="63D731CD"/>
    <w:rsid w:val="64634A61"/>
    <w:rsid w:val="64762352"/>
    <w:rsid w:val="649A3DC3"/>
    <w:rsid w:val="64AA08E2"/>
    <w:rsid w:val="64AD2180"/>
    <w:rsid w:val="658253BB"/>
    <w:rsid w:val="6598698C"/>
    <w:rsid w:val="65CB0B10"/>
    <w:rsid w:val="6632293D"/>
    <w:rsid w:val="66483136"/>
    <w:rsid w:val="66862C89"/>
    <w:rsid w:val="66E16111"/>
    <w:rsid w:val="6736645D"/>
    <w:rsid w:val="673F17B5"/>
    <w:rsid w:val="686F3F38"/>
    <w:rsid w:val="687E00BB"/>
    <w:rsid w:val="68A65864"/>
    <w:rsid w:val="68C57E25"/>
    <w:rsid w:val="68CA50AF"/>
    <w:rsid w:val="68CB5ABA"/>
    <w:rsid w:val="697F058F"/>
    <w:rsid w:val="69A9560C"/>
    <w:rsid w:val="69AC09CE"/>
    <w:rsid w:val="69C91131"/>
    <w:rsid w:val="69E5416A"/>
    <w:rsid w:val="69E91EAC"/>
    <w:rsid w:val="6A0E75B3"/>
    <w:rsid w:val="6A1106BA"/>
    <w:rsid w:val="6A535578"/>
    <w:rsid w:val="6A7A6FA8"/>
    <w:rsid w:val="6AAD6A36"/>
    <w:rsid w:val="6AC56475"/>
    <w:rsid w:val="6AE61F48"/>
    <w:rsid w:val="6B2036AC"/>
    <w:rsid w:val="6B2F38EF"/>
    <w:rsid w:val="6BA77929"/>
    <w:rsid w:val="6C007039"/>
    <w:rsid w:val="6C265E42"/>
    <w:rsid w:val="6CBD4F2A"/>
    <w:rsid w:val="6CF03552"/>
    <w:rsid w:val="6D396CA7"/>
    <w:rsid w:val="6E1D4ED5"/>
    <w:rsid w:val="6E3D7D6E"/>
    <w:rsid w:val="6E5C7347"/>
    <w:rsid w:val="6F011A46"/>
    <w:rsid w:val="6F2D1B79"/>
    <w:rsid w:val="6F8F6751"/>
    <w:rsid w:val="6FD125DD"/>
    <w:rsid w:val="6FDA2EAE"/>
    <w:rsid w:val="6FF9271D"/>
    <w:rsid w:val="706933FF"/>
    <w:rsid w:val="709A7A5C"/>
    <w:rsid w:val="70B609EF"/>
    <w:rsid w:val="710504EC"/>
    <w:rsid w:val="710870BC"/>
    <w:rsid w:val="71101E6C"/>
    <w:rsid w:val="71B44B4E"/>
    <w:rsid w:val="7203633A"/>
    <w:rsid w:val="72520E62"/>
    <w:rsid w:val="7270316B"/>
    <w:rsid w:val="728704B4"/>
    <w:rsid w:val="72B03567"/>
    <w:rsid w:val="73075151"/>
    <w:rsid w:val="73614861"/>
    <w:rsid w:val="736600CA"/>
    <w:rsid w:val="73EC4A73"/>
    <w:rsid w:val="742F670E"/>
    <w:rsid w:val="74406B6D"/>
    <w:rsid w:val="747B5DF7"/>
    <w:rsid w:val="74980757"/>
    <w:rsid w:val="74A7099A"/>
    <w:rsid w:val="74CF2947"/>
    <w:rsid w:val="75475CD9"/>
    <w:rsid w:val="75C94940"/>
    <w:rsid w:val="773A3D47"/>
    <w:rsid w:val="774150D6"/>
    <w:rsid w:val="775C3CBE"/>
    <w:rsid w:val="77780714"/>
    <w:rsid w:val="77810726"/>
    <w:rsid w:val="77FC2DAB"/>
    <w:rsid w:val="786D1EFA"/>
    <w:rsid w:val="78A76D46"/>
    <w:rsid w:val="79295E21"/>
    <w:rsid w:val="79330A4E"/>
    <w:rsid w:val="798B2638"/>
    <w:rsid w:val="79B84D59"/>
    <w:rsid w:val="79DC7338"/>
    <w:rsid w:val="79E24222"/>
    <w:rsid w:val="79F53F55"/>
    <w:rsid w:val="7A1C1B59"/>
    <w:rsid w:val="7A574C10"/>
    <w:rsid w:val="7A811C8D"/>
    <w:rsid w:val="7AA95FB1"/>
    <w:rsid w:val="7AC83430"/>
    <w:rsid w:val="7B737828"/>
    <w:rsid w:val="7B8E1A4B"/>
    <w:rsid w:val="7BD35B73"/>
    <w:rsid w:val="7C3D122A"/>
    <w:rsid w:val="7C8C1477"/>
    <w:rsid w:val="7C9729C0"/>
    <w:rsid w:val="7CA51C63"/>
    <w:rsid w:val="7CCA791B"/>
    <w:rsid w:val="7D577CA3"/>
    <w:rsid w:val="7D7B0C16"/>
    <w:rsid w:val="7DC34856"/>
    <w:rsid w:val="7DD32800"/>
    <w:rsid w:val="7E462FD2"/>
    <w:rsid w:val="7E90249F"/>
    <w:rsid w:val="7EAA7A04"/>
    <w:rsid w:val="7FD5564C"/>
    <w:rsid w:val="7FD55F5D"/>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qFormat="1" w:unhideWhenUsed="0" w:uiPriority="9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numPr>
        <w:ilvl w:val="0"/>
        <w:numId w:val="1"/>
      </w:numPr>
      <w:spacing w:before="120" w:after="120"/>
      <w:jc w:val="center"/>
      <w:outlineLvl w:val="0"/>
    </w:pPr>
    <w:rPr>
      <w:rFonts w:ascii="Tahoma" w:hAnsi="Tahoma" w:eastAsia="Tahoma"/>
      <w:b/>
      <w:kern w:val="44"/>
      <w:sz w:val="32"/>
    </w:rPr>
  </w:style>
  <w:style w:type="paragraph" w:styleId="3">
    <w:name w:val="heading 2"/>
    <w:basedOn w:val="1"/>
    <w:next w:val="1"/>
    <w:link w:val="23"/>
    <w:qFormat/>
    <w:uiPriority w:val="9"/>
    <w:pPr>
      <w:keepNext/>
      <w:keepLines/>
      <w:widowControl/>
      <w:numPr>
        <w:ilvl w:val="1"/>
        <w:numId w:val="2"/>
      </w:numPr>
      <w:spacing w:before="120" w:after="120"/>
      <w:jc w:val="left"/>
      <w:outlineLvl w:val="1"/>
    </w:pPr>
    <w:rPr>
      <w:rFonts w:ascii="宋体" w:hAnsi="宋体" w:eastAsia="微软雅黑" w:cs="宋体"/>
      <w:b/>
      <w:bCs/>
      <w:kern w:val="0"/>
      <w:sz w:val="36"/>
      <w:szCs w:val="36"/>
    </w:rPr>
  </w:style>
  <w:style w:type="paragraph" w:styleId="4">
    <w:name w:val="heading 3"/>
    <w:basedOn w:val="1"/>
    <w:next w:val="1"/>
    <w:link w:val="37"/>
    <w:autoRedefine/>
    <w:qFormat/>
    <w:uiPriority w:val="0"/>
    <w:pPr>
      <w:keepNext/>
      <w:keepLines/>
      <w:spacing w:before="260" w:after="260" w:line="416" w:lineRule="auto"/>
      <w:outlineLvl w:val="2"/>
    </w:pPr>
    <w:rPr>
      <w:b/>
      <w:bCs/>
      <w:sz w:val="32"/>
      <w:szCs w:val="32"/>
    </w:rPr>
  </w:style>
  <w:style w:type="paragraph" w:styleId="5">
    <w:name w:val="heading 4"/>
    <w:basedOn w:val="1"/>
    <w:next w:val="6"/>
    <w:autoRedefine/>
    <w:qFormat/>
    <w:uiPriority w:val="0"/>
    <w:pPr>
      <w:keepNext/>
      <w:keepLines/>
      <w:numPr>
        <w:ilvl w:val="3"/>
        <w:numId w:val="3"/>
      </w:numPr>
      <w:spacing w:line="360" w:lineRule="auto"/>
      <w:outlineLvl w:val="3"/>
    </w:pPr>
    <w:rPr>
      <w:rFonts w:ascii="Tahoma" w:eastAsia="Tahoma"/>
      <w:b/>
      <w:sz w:val="28"/>
      <w:szCs w:val="28"/>
    </w:rPr>
  </w:style>
  <w:style w:type="character" w:default="1" w:styleId="20">
    <w:name w:val="Default Paragraph Font"/>
    <w:autoRedefine/>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6">
    <w:name w:val="样式  + 首行缩进:  2 字符"/>
    <w:basedOn w:val="1"/>
    <w:autoRedefine/>
    <w:qFormat/>
    <w:uiPriority w:val="0"/>
    <w:pPr>
      <w:adjustRightInd w:val="0"/>
      <w:snapToGrid w:val="0"/>
      <w:spacing w:line="360" w:lineRule="auto"/>
      <w:ind w:firstLine="524" w:firstLineChars="200"/>
    </w:pPr>
    <w:rPr>
      <w:rFonts w:cs="Cambria Math"/>
      <w:snapToGrid w:val="0"/>
      <w:spacing w:val="11"/>
    </w:rPr>
  </w:style>
  <w:style w:type="paragraph" w:styleId="7">
    <w:name w:val="annotation text"/>
    <w:basedOn w:val="1"/>
    <w:autoRedefine/>
    <w:semiHidden/>
    <w:unhideWhenUsed/>
    <w:qFormat/>
    <w:uiPriority w:val="99"/>
    <w:pPr>
      <w:jc w:val="left"/>
    </w:pPr>
  </w:style>
  <w:style w:type="paragraph" w:styleId="8">
    <w:name w:val="Body Text"/>
    <w:basedOn w:val="1"/>
    <w:next w:val="9"/>
    <w:autoRedefine/>
    <w:unhideWhenUsed/>
    <w:qFormat/>
    <w:uiPriority w:val="99"/>
    <w:pPr>
      <w:spacing w:before="100" w:beforeAutospacing="1" w:after="120" w:line="360" w:lineRule="auto"/>
      <w:ind w:firstLine="200" w:firstLineChars="200"/>
    </w:pPr>
    <w:rPr>
      <w:rFonts w:ascii="Arial" w:hAnsi="Arial" w:cs="Arial"/>
      <w:sz w:val="24"/>
      <w:szCs w:val="24"/>
    </w:rPr>
  </w:style>
  <w:style w:type="paragraph" w:styleId="9">
    <w:name w:val="Body Text First Indent"/>
    <w:basedOn w:val="8"/>
    <w:autoRedefine/>
    <w:qFormat/>
    <w:uiPriority w:val="0"/>
    <w:pPr>
      <w:spacing w:line="360" w:lineRule="auto"/>
      <w:ind w:firstLine="420"/>
    </w:pPr>
    <w:rPr>
      <w:rFonts w:ascii="宋体" w:hAnsi="宋体"/>
      <w:sz w:val="24"/>
    </w:rPr>
  </w:style>
  <w:style w:type="paragraph" w:styleId="10">
    <w:name w:val="Body Text Indent"/>
    <w:basedOn w:val="1"/>
    <w:autoRedefine/>
    <w:qFormat/>
    <w:uiPriority w:val="0"/>
    <w:pPr>
      <w:spacing w:line="700" w:lineRule="exact"/>
      <w:ind w:left="960"/>
    </w:pPr>
    <w:rPr>
      <w:sz w:val="44"/>
    </w:rPr>
  </w:style>
  <w:style w:type="paragraph" w:styleId="11">
    <w:name w:val="toc 5"/>
    <w:basedOn w:val="1"/>
    <w:next w:val="1"/>
    <w:qFormat/>
    <w:uiPriority w:val="99"/>
    <w:pPr>
      <w:spacing w:line="594" w:lineRule="exact"/>
      <w:jc w:val="left"/>
    </w:pPr>
    <w:rPr>
      <w:rFonts w:eastAsia="方正仿宋_GBK"/>
    </w:rPr>
  </w:style>
  <w:style w:type="paragraph" w:styleId="12">
    <w:name w:val="Balloon Text"/>
    <w:basedOn w:val="1"/>
    <w:link w:val="31"/>
    <w:autoRedefine/>
    <w:qFormat/>
    <w:uiPriority w:val="0"/>
    <w:rPr>
      <w:rFonts w:ascii="Calibri" w:hAnsi="Calibri" w:eastAsia="宋体" w:cs="Times New Roman"/>
      <w:sz w:val="18"/>
      <w:szCs w:val="18"/>
    </w:rPr>
  </w:style>
  <w:style w:type="paragraph" w:styleId="13">
    <w:name w:val="footer"/>
    <w:basedOn w:val="1"/>
    <w:link w:val="34"/>
    <w:autoRedefine/>
    <w:unhideWhenUsed/>
    <w:qFormat/>
    <w:uiPriority w:val="99"/>
    <w:pPr>
      <w:widowControl/>
      <w:tabs>
        <w:tab w:val="center" w:pos="4153"/>
        <w:tab w:val="right" w:pos="8306"/>
      </w:tabs>
      <w:autoSpaceDN w:val="0"/>
      <w:snapToGrid w:val="0"/>
      <w:spacing w:line="400" w:lineRule="exact"/>
      <w:ind w:firstLine="480" w:firstLineChars="200"/>
      <w:jc w:val="left"/>
    </w:pPr>
    <w:rPr>
      <w:rFonts w:ascii="方正仿宋_GBK" w:hAnsi="方正宋三简体" w:eastAsia="方正仿宋_GBK" w:cs="方正仿宋_GBK"/>
      <w:kern w:val="0"/>
      <w:sz w:val="18"/>
      <w:szCs w:val="18"/>
    </w:rPr>
  </w:style>
  <w:style w:type="paragraph" w:styleId="14">
    <w:name w:val="header"/>
    <w:basedOn w:val="1"/>
    <w:link w:val="33"/>
    <w:autoRedefine/>
    <w:unhideWhenUsed/>
    <w:qFormat/>
    <w:uiPriority w:val="99"/>
    <w:pPr>
      <w:widowControl/>
      <w:pBdr>
        <w:bottom w:val="single" w:color="auto" w:sz="6" w:space="1"/>
      </w:pBdr>
      <w:tabs>
        <w:tab w:val="center" w:pos="4153"/>
        <w:tab w:val="right" w:pos="8306"/>
      </w:tabs>
      <w:autoSpaceDN w:val="0"/>
      <w:snapToGrid w:val="0"/>
      <w:spacing w:line="400" w:lineRule="exact"/>
      <w:ind w:firstLine="480" w:firstLineChars="200"/>
      <w:jc w:val="center"/>
    </w:pPr>
    <w:rPr>
      <w:rFonts w:ascii="方正仿宋_GBK" w:hAnsi="方正宋三简体" w:eastAsia="方正仿宋_GBK" w:cs="方正仿宋_GBK"/>
      <w:kern w:val="0"/>
      <w:sz w:val="18"/>
      <w:szCs w:val="18"/>
    </w:rPr>
  </w:style>
  <w:style w:type="paragraph" w:styleId="15">
    <w:name w:val="toc 1"/>
    <w:basedOn w:val="1"/>
    <w:next w:val="1"/>
    <w:semiHidden/>
    <w:unhideWhenUsed/>
    <w:qFormat/>
    <w:uiPriority w:val="39"/>
    <w:pPr>
      <w:widowControl/>
      <w:spacing w:before="120"/>
      <w:jc w:val="left"/>
    </w:pPr>
    <w:rPr>
      <w:rFonts w:hAnsi="宋体" w:eastAsia="微软雅黑" w:cs="宋体"/>
      <w:b/>
      <w:bCs/>
      <w:iCs/>
      <w:kern w:val="0"/>
      <w:sz w:val="24"/>
    </w:rPr>
  </w:style>
  <w:style w:type="paragraph" w:styleId="16">
    <w:name w:val="Normal (Web)"/>
    <w:basedOn w:val="1"/>
    <w:autoRedefine/>
    <w:qFormat/>
    <w:uiPriority w:val="0"/>
    <w:pPr>
      <w:spacing w:beforeAutospacing="1" w:afterAutospacing="1"/>
      <w:jc w:val="left"/>
    </w:pPr>
    <w:rPr>
      <w:rFonts w:cs="Times New Roman"/>
      <w:kern w:val="0"/>
      <w:sz w:val="24"/>
    </w:rPr>
  </w:style>
  <w:style w:type="paragraph" w:styleId="17">
    <w:name w:val="Body Text First Indent 2"/>
    <w:basedOn w:val="10"/>
    <w:qFormat/>
    <w:uiPriority w:val="0"/>
    <w:pPr>
      <w:spacing w:after="120" w:line="240" w:lineRule="auto"/>
      <w:ind w:left="420" w:leftChars="200" w:firstLine="420" w:firstLineChars="200"/>
    </w:pPr>
    <w:rPr>
      <w:sz w:val="21"/>
    </w:rPr>
  </w:style>
  <w:style w:type="table" w:styleId="19">
    <w:name w:val="Table Grid"/>
    <w:basedOn w:val="18"/>
    <w:autoRedefine/>
    <w:qFormat/>
    <w:uiPriority w:val="3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autoRedefine/>
    <w:unhideWhenUsed/>
    <w:qFormat/>
    <w:uiPriority w:val="99"/>
    <w:rPr>
      <w:color w:val="0563C1" w:themeColor="hyperlink"/>
      <w:u w:val="single"/>
      <w14:textFill>
        <w14:solidFill>
          <w14:schemeClr w14:val="hlink"/>
        </w14:solidFill>
      </w14:textFill>
    </w:rPr>
  </w:style>
  <w:style w:type="paragraph" w:customStyle="1" w:styleId="22">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23">
    <w:name w:val="标题 2 字符"/>
    <w:basedOn w:val="20"/>
    <w:link w:val="3"/>
    <w:autoRedefine/>
    <w:qFormat/>
    <w:uiPriority w:val="9"/>
    <w:rPr>
      <w:rFonts w:ascii="宋体" w:hAnsi="宋体" w:eastAsia="微软雅黑" w:cs="宋体"/>
      <w:b/>
      <w:bCs/>
      <w:kern w:val="0"/>
      <w:sz w:val="36"/>
      <w:szCs w:val="36"/>
    </w:rPr>
  </w:style>
  <w:style w:type="paragraph" w:customStyle="1" w:styleId="24">
    <w:name w:val="一级标题"/>
    <w:basedOn w:val="1"/>
    <w:autoRedefine/>
    <w:qFormat/>
    <w:uiPriority w:val="0"/>
    <w:pPr>
      <w:numPr>
        <w:ilvl w:val="0"/>
        <w:numId w:val="4"/>
      </w:numPr>
    </w:pPr>
    <w:rPr>
      <w:rFonts w:ascii="仿宋" w:hAnsi="仿宋" w:eastAsia="仿宋"/>
      <w:sz w:val="24"/>
      <w:lang w:eastAsia="zh-Hans"/>
    </w:rPr>
  </w:style>
  <w:style w:type="paragraph" w:customStyle="1" w:styleId="25">
    <w:name w:val="公文-标题"/>
    <w:basedOn w:val="1"/>
    <w:autoRedefine/>
    <w:qFormat/>
    <w:uiPriority w:val="0"/>
    <w:pPr>
      <w:spacing w:before="156" w:beforeLines="50" w:after="156" w:afterLines="50" w:line="540" w:lineRule="exact"/>
      <w:jc w:val="center"/>
    </w:pPr>
    <w:rPr>
      <w:rFonts w:ascii="方正小标宋_GBK" w:eastAsia="方正小标宋_GBK" w:cs="Arial" w:hAnsiTheme="minorEastAsia"/>
      <w:color w:val="333333"/>
      <w:kern w:val="0"/>
      <w:sz w:val="44"/>
      <w:szCs w:val="44"/>
    </w:rPr>
  </w:style>
  <w:style w:type="paragraph" w:customStyle="1" w:styleId="26">
    <w:name w:val="公文-正文"/>
    <w:basedOn w:val="1"/>
    <w:autoRedefine/>
    <w:qFormat/>
    <w:uiPriority w:val="0"/>
    <w:pPr>
      <w:ind w:firstLine="200" w:firstLineChars="200"/>
    </w:pPr>
    <w:rPr>
      <w:rFonts w:ascii="方正仿宋_GBK" w:hAnsi="方正仿宋_GBK" w:eastAsia="方正仿宋_GBK"/>
      <w:sz w:val="32"/>
      <w:szCs w:val="32"/>
    </w:rPr>
  </w:style>
  <w:style w:type="paragraph" w:customStyle="1" w:styleId="27">
    <w:name w:val="公文-标题1"/>
    <w:basedOn w:val="24"/>
    <w:qFormat/>
    <w:uiPriority w:val="0"/>
    <w:rPr>
      <w:rFonts w:eastAsia="方正黑体_GBK"/>
      <w:sz w:val="32"/>
    </w:rPr>
  </w:style>
  <w:style w:type="paragraph" w:customStyle="1" w:styleId="28">
    <w:name w:val="图例"/>
    <w:basedOn w:val="1"/>
    <w:autoRedefine/>
    <w:qFormat/>
    <w:uiPriority w:val="0"/>
    <w:pPr>
      <w:spacing w:before="120" w:after="120" w:line="360" w:lineRule="auto"/>
      <w:jc w:val="center"/>
    </w:pPr>
    <w:rPr>
      <w:rFonts w:ascii="Times New Roman" w:hAnsi="Times New Roman" w:eastAsia="仿宋_GB2312" w:cs="Times New Roman"/>
      <w:b/>
      <w:sz w:val="24"/>
    </w:rPr>
  </w:style>
  <w:style w:type="paragraph" w:styleId="29">
    <w:name w:val="List Paragraph"/>
    <w:basedOn w:val="1"/>
    <w:qFormat/>
    <w:uiPriority w:val="34"/>
    <w:pPr>
      <w:ind w:firstLine="420" w:firstLineChars="200"/>
    </w:pPr>
  </w:style>
  <w:style w:type="paragraph" w:customStyle="1" w:styleId="30">
    <w:name w:val="0-表格内容"/>
    <w:basedOn w:val="1"/>
    <w:autoRedefine/>
    <w:qFormat/>
    <w:uiPriority w:val="0"/>
    <w:pPr>
      <w:widowControl/>
      <w:autoSpaceDN w:val="0"/>
      <w:spacing w:line="400" w:lineRule="exact"/>
      <w:jc w:val="center"/>
    </w:pPr>
    <w:rPr>
      <w:rFonts w:ascii="仿宋" w:hAnsi="仿宋" w:eastAsia="仿宋" w:cs="宋体"/>
      <w:bCs/>
      <w:kern w:val="0"/>
      <w:sz w:val="24"/>
      <w:szCs w:val="24"/>
      <w:lang w:val="zh-CN"/>
    </w:rPr>
  </w:style>
  <w:style w:type="character" w:customStyle="1" w:styleId="31">
    <w:name w:val="批注框文本 字符"/>
    <w:basedOn w:val="20"/>
    <w:link w:val="12"/>
    <w:qFormat/>
    <w:uiPriority w:val="0"/>
    <w:rPr>
      <w:rFonts w:ascii="Calibri" w:hAnsi="Calibri" w:eastAsia="宋体" w:cs="Times New Roman"/>
      <w:sz w:val="18"/>
      <w:szCs w:val="18"/>
    </w:rPr>
  </w:style>
  <w:style w:type="character" w:customStyle="1" w:styleId="32">
    <w:name w:val="NormalCharacter"/>
    <w:autoRedefine/>
    <w:semiHidden/>
    <w:qFormat/>
    <w:uiPriority w:val="0"/>
  </w:style>
  <w:style w:type="character" w:customStyle="1" w:styleId="33">
    <w:name w:val="页眉 字符"/>
    <w:basedOn w:val="20"/>
    <w:link w:val="14"/>
    <w:autoRedefine/>
    <w:qFormat/>
    <w:uiPriority w:val="99"/>
    <w:rPr>
      <w:rFonts w:ascii="方正仿宋_GBK" w:hAnsi="方正宋三简体" w:eastAsia="方正仿宋_GBK" w:cs="方正仿宋_GBK"/>
      <w:kern w:val="0"/>
      <w:sz w:val="18"/>
      <w:szCs w:val="18"/>
    </w:rPr>
  </w:style>
  <w:style w:type="character" w:customStyle="1" w:styleId="34">
    <w:name w:val="页脚 字符"/>
    <w:basedOn w:val="20"/>
    <w:link w:val="13"/>
    <w:autoRedefine/>
    <w:qFormat/>
    <w:uiPriority w:val="99"/>
    <w:rPr>
      <w:rFonts w:ascii="方正仿宋_GBK" w:hAnsi="方正宋三简体" w:eastAsia="方正仿宋_GBK" w:cs="方正仿宋_GBK"/>
      <w:kern w:val="0"/>
      <w:sz w:val="18"/>
      <w:szCs w:val="18"/>
    </w:rPr>
  </w:style>
  <w:style w:type="paragraph" w:customStyle="1" w:styleId="35">
    <w:name w:val="*正文"/>
    <w:basedOn w:val="1"/>
    <w:qFormat/>
    <w:uiPriority w:val="0"/>
    <w:pPr>
      <w:spacing w:line="360" w:lineRule="auto"/>
      <w:ind w:firstLine="480" w:firstLineChars="200"/>
    </w:pPr>
    <w:rPr>
      <w:rFonts w:eastAsia="Tahoma"/>
      <w:szCs w:val="28"/>
    </w:rPr>
  </w:style>
  <w:style w:type="paragraph" w:customStyle="1" w:styleId="36">
    <w:name w:val="列出段落1"/>
    <w:basedOn w:val="1"/>
    <w:autoRedefine/>
    <w:qFormat/>
    <w:uiPriority w:val="0"/>
    <w:pPr>
      <w:ind w:firstLine="420" w:firstLineChars="200"/>
    </w:pPr>
    <w:rPr>
      <w:rFonts w:ascii="Calibri" w:hAnsi="Calibri"/>
      <w:szCs w:val="21"/>
    </w:rPr>
  </w:style>
  <w:style w:type="character" w:customStyle="1" w:styleId="37">
    <w:name w:val="标题 3 字符"/>
    <w:basedOn w:val="20"/>
    <w:link w:val="4"/>
    <w:qFormat/>
    <w:uiPriority w:val="0"/>
    <w:rPr>
      <w:rFonts w:asciiTheme="minorHAnsi" w:hAnsiTheme="minorHAnsi" w:eastAsiaTheme="minorEastAsia" w:cstheme="minorBidi"/>
      <w:b/>
      <w:bCs/>
      <w:kern w:val="2"/>
      <w:sz w:val="32"/>
      <w:szCs w:val="32"/>
    </w:rPr>
  </w:style>
  <w:style w:type="character" w:customStyle="1" w:styleId="38">
    <w:name w:val="Unresolved Mention"/>
    <w:basedOn w:val="20"/>
    <w:autoRedefine/>
    <w:semiHidden/>
    <w:unhideWhenUsed/>
    <w:qFormat/>
    <w:uiPriority w:val="99"/>
    <w:rPr>
      <w:color w:val="605E5C"/>
      <w:shd w:val="clear" w:color="auto" w:fill="E1DFDD"/>
    </w:rPr>
  </w:style>
  <w:style w:type="character" w:customStyle="1" w:styleId="39">
    <w:name w:val="font91"/>
    <w:basedOn w:val="2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2943</Words>
  <Characters>3049</Characters>
  <Lines>46</Lines>
  <Paragraphs>13</Paragraphs>
  <TotalTime>2</TotalTime>
  <ScaleCrop>false</ScaleCrop>
  <LinksUpToDate>false</LinksUpToDate>
  <CharactersWithSpaces>3053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2023-11-03T05:49:00Z</dcterms:created>
  <dc:creator>Moira Lotus</dc:creator>
  <cp:lastModifiedBy>张谊</cp:lastModifiedBy>
  <cp:lastPrinted>2023-03-15T02:07:00Z</cp:lastPrinted>
  <dcterms:modified xsi:type="dcterms:W3CDTF">2025-05-30T06:13:03Z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7F077F4424EA4A0CB8A8AF348E7F4918_13</vt:lpwstr>
  </property>
  <property fmtid="{D5CDD505-2E9C-101B-9397-08002B2CF9AE}" pid="4" name="KSOSaveFontToCloudKey">
    <vt:lpwstr>966266744_btnclosed</vt:lpwstr>
  </property>
</Properties>
</file>