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4024"/>
      <w:bookmarkStart w:id="1" w:name="_Toc17010"/>
      <w:bookmarkStart w:id="2" w:name="_Toc15809"/>
      <w:bookmarkStart w:id="3" w:name="_Toc906"/>
      <w:bookmarkStart w:id="4" w:name="_Toc2771"/>
      <w:bookmarkStart w:id="5" w:name="_Toc17413"/>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6360"/>
      <w:bookmarkStart w:id="7" w:name="_Toc20549"/>
      <w:bookmarkStart w:id="8" w:name="_Toc20035"/>
      <w:bookmarkStart w:id="9" w:name="_Toc25543"/>
      <w:bookmarkStart w:id="10" w:name="_Toc1831"/>
      <w:bookmarkStart w:id="11" w:name="_Toc19887"/>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CYKF-HL202506001</w:t>
      </w:r>
      <w:bookmarkEnd w:id="12"/>
    </w:p>
    <w:p>
      <w:pPr>
        <w:spacing w:line="360" w:lineRule="auto"/>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74"/>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医用敷料类耗材</w:t>
      </w:r>
      <w:bookmarkEnd w:id="13"/>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pPr>
        <w:pStyle w:val="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2025年6月</w:t>
      </w:r>
    </w:p>
    <w:p>
      <w:pPr>
        <w:pStyle w:val="5"/>
        <w:ind w:left="0" w:leftChars="0" w:firstLine="0" w:firstLineChars="0"/>
        <w:jc w:val="both"/>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pPr>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bookmarkStart w:id="32" w:name="OLE_LINK78"/>
      <w:r>
        <w:rPr>
          <w:rFonts w:hint="eastAsia" w:ascii="方正仿宋_GBK" w:hAnsi="方正仿宋_GBK" w:eastAsia="方正仿宋_GBK" w:cs="方正仿宋_GBK"/>
          <w:b/>
          <w:bCs/>
          <w:color w:val="000000" w:themeColor="text1"/>
          <w:kern w:val="0"/>
          <w:sz w:val="28"/>
          <w:szCs w:val="28"/>
          <w:u w:val="single"/>
          <w:lang w:val="en-US" w:eastAsia="zh-CN"/>
          <w14:textFill>
            <w14:solidFill>
              <w14:schemeClr w14:val="tx1"/>
            </w14:solidFill>
          </w14:textFill>
        </w:rPr>
        <w:t>医用敷料类耗材</w:t>
      </w:r>
      <w:bookmarkEnd w:id="32"/>
      <w:r>
        <w:rPr>
          <w:rFonts w:hint="eastAsia" w:ascii="方正小标宋_GBK" w:hAnsi="方正小标宋_GBK" w:eastAsia="方正小标宋_GBK" w:cs="方正小标宋_GBK"/>
          <w:color w:val="000000" w:themeColor="text1"/>
          <w:kern w:val="0"/>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3" w:name="_Toc465084019"/>
    </w:p>
    <w:p>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3"/>
    </w:p>
    <w:tbl>
      <w:tblPr>
        <w:tblStyle w:val="12"/>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4"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4"/>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3"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both"/>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CYKF-HL202506001</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u w:val="none"/>
                <w:lang w:val="en-US" w:eastAsia="zh-CN"/>
                <w14:textFill>
                  <w14:solidFill>
                    <w14:schemeClr w14:val="tx1"/>
                  </w14:solidFill>
                </w14:textFill>
              </w:rPr>
              <w:t>医用敷料类耗材</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3"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5"/>
    </w:tbl>
    <w:p>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bookmarkStart w:id="208" w:name="_GoBack"/>
      <w:bookmarkEnd w:id="208"/>
    </w:p>
    <w:p>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6" w:name="OLE_LINK8"/>
      <w:bookmarkStart w:id="37" w:name="_Toc556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6"/>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3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3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3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3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1" w:name="_Toc32600"/>
      <w:bookmarkStart w:id="42" w:name="_Toc24566"/>
      <w:bookmarkStart w:id="43" w:name="_Toc17416"/>
      <w:bookmarkStart w:id="44" w:name="_Toc2373"/>
      <w:bookmarkStart w:id="45" w:name="_Toc6958"/>
      <w:bookmarkStart w:id="46" w:name="_Toc30172"/>
      <w:bookmarkStart w:id="47" w:name="_Toc1536"/>
      <w:bookmarkStart w:id="48" w:name="_Toc32737"/>
      <w:bookmarkStart w:id="49" w:name="_Toc16359"/>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7"/>
    <w:p>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0"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0"/>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1" w:name="OLE_LINK76"/>
    </w:p>
    <w:bookmarkEnd w:id="51"/>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2"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2"/>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ind w:left="0" w:leftChars="0" w:firstLine="0" w:firstLineChars="0"/>
        <w:rPr>
          <w:color w:val="000000" w:themeColor="text1"/>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pPr>
        <w:ind w:firstLine="602" w:firstLineChars="200"/>
        <w:rPr>
          <w:rFonts w:hint="eastAsia"/>
          <w:b/>
          <w:bCs/>
          <w:color w:val="000000" w:themeColor="text1"/>
          <w:lang w:val="en-US" w:eastAsia="zh-CN"/>
          <w14:textFill>
            <w14:solidFill>
              <w14:schemeClr w14:val="tx1"/>
            </w14:solidFill>
          </w14:textFill>
        </w:rPr>
      </w:pPr>
      <w:bookmarkStart w:id="53" w:name="_Toc4519"/>
      <w:bookmarkStart w:id="54" w:name="_Toc106030381"/>
      <w:bookmarkStart w:id="55" w:name="_Toc19238"/>
      <w:bookmarkStart w:id="56" w:name="_Toc4913"/>
      <w:bookmarkStart w:id="57" w:name="_Toc29985"/>
      <w:bookmarkStart w:id="58" w:name="_Toc22910"/>
      <w:bookmarkStart w:id="59" w:name="_Toc23656"/>
      <w:bookmarkStart w:id="60" w:name="_Toc4531"/>
      <w:bookmarkStart w:id="61" w:name="_Toc8370"/>
      <w:bookmarkStart w:id="62" w:name="_Toc20979"/>
      <w:bookmarkStart w:id="63" w:name="_Toc75793505"/>
      <w:bookmarkStart w:id="64" w:name="_Toc11703"/>
      <w:bookmarkStart w:id="65" w:name="_Toc23504"/>
      <w:bookmarkStart w:id="66" w:name="_Toc7027"/>
      <w:bookmarkStart w:id="67" w:name="_Toc9261"/>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8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2496"/>
        <w:gridCol w:w="906"/>
        <w:gridCol w:w="2839"/>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产品名称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单位</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bookmarkStart w:id="68" w:name="OLE_LINK95"/>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bookmarkEnd w:id="68"/>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布胶布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26cm*5YD</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医用丝绸胶布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1.25cm*9.1m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医用透明胶带（3M）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1.2cm*9.1m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4.8×600cm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8*600cm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10*600cm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弹力绷带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10×450cm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弹力绷带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4.5*75cm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石膏绷带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10*460cm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弹力帽（头套）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弹力帽（6、7、8、9号）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碘伏纱布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条</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6×30cm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凡士林纱布卷</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1*90c*4p</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凡士林油脂纱布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10*10cm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凡士林油脂纱布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5*5cm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凡士林油脂纱布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6*8cm*8p</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医用外科口罩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长方形挂耳</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医用外科口罩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长方形系带</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防护口罩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N95</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护目镜</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18"/>
                <w:szCs w:val="18"/>
                <w:u w:val="none"/>
                <w14:textFill>
                  <w14:solidFill>
                    <w14:schemeClr w14:val="tx1"/>
                  </w14:solidFill>
                </w14:textFill>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themeColor="text1"/>
                <w:sz w:val="18"/>
                <w:szCs w:val="18"/>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妇科棉签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石蜡油棉球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输液贴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42mm*80mm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输液贴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35mm*70mm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60mm×70mm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70mm×90mm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100mm×200mm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伤口敷贴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100mm×100mm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透明留置针敷贴（3M）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6cm*7cm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透明留置针敷贴（3M）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9*10cm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透明敷贴（3M）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10*12cm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一次性压舌板</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150mm*19mm（竹质）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一次性导尿包</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I型（各型号）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一次性使用治疗巾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40*50cm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一次性洞巾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条</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50*70cm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一次性医用垫单</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（加棉型）</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80*150cm（加棉）</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一次性医用垫单</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80*200cm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一次性医用垫单</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100*220cm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一次性床罩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100*220cm（床罩）</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一次性防护服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件</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连身式165、170、175、180、185</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一次性隔离面罩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通用型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一次性换药盒</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换药型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一次性使用换药盒</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缝合型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一次性帽子</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机制条形帽/机制圆帽</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一次性手术衣</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件</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大号/中号/小号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一次性鞋套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大号/中号/小号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一次性枕套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40*70cm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医用棉球/非灭菌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斤</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大号、中号、小号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医用棉球/灭菌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60mm×80mm×8层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80mm×100mm×8层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60mm×80mm×8层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80mm×100mm×8层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医用纱布块/灭菌/显影</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60mm×80mm×8层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医用纱布块/灭菌/显影</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80mm×100mm×8层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医用纱布块/灭菌/显影</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长筒靴套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通用型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纸胶带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纸胶带型1cm×1500cm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自粘性敷贴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100mm×250mm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自粘性敷贴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60mm×70mm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棉纱垫（三角洗手巾）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40*40*2</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棉纱垫（显影）灭菌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40*40*4/2块</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棉纱垫（显影）灭菌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40*40*1/5块</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540" w:firstLineChars="30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三角巾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前臂吊带（三角巾）</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石膏棉纸</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10cm×350cm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bl>
    <w:p>
      <w:pPr>
        <w:adjustRightInd w:val="0"/>
        <w:snapToGrid w:val="0"/>
        <w:spacing w:line="360" w:lineRule="auto"/>
        <w:ind w:left="0" w:leftChars="0" w:firstLine="0" w:firstLineChars="0"/>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备注：1.投标人相应95%以上为有效响应，低于95%为不满足技术需求。</w:t>
      </w:r>
    </w:p>
    <w:p>
      <w:pPr>
        <w:adjustRightInd w:val="0"/>
        <w:snapToGrid w:val="0"/>
        <w:spacing w:line="360" w:lineRule="auto"/>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2.不得删行变更表格顺序，不能响应项目在报价处“/”表示。</w:t>
      </w:r>
    </w:p>
    <w:p>
      <w:pPr>
        <w:keepNext w:val="0"/>
        <w:keepLines w:val="0"/>
        <w:widowControl/>
        <w:suppressLineNumbers w:val="0"/>
        <w:ind w:left="0" w:leftChars="0" w:firstLine="0" w:firstLineChars="0"/>
        <w:jc w:val="left"/>
        <w:rPr>
          <w:rFonts w:hint="eastAsia"/>
          <w:b w:val="0"/>
          <w:bCs w:val="0"/>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0"/>
          <w:szCs w:val="30"/>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val="0"/>
          <w:bCs w:val="0"/>
          <w:color w:val="000000" w:themeColor="text1"/>
          <w:kern w:val="2"/>
          <w:sz w:val="30"/>
          <w:szCs w:val="30"/>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val="0"/>
          <w:bCs w:val="0"/>
          <w:color w:val="000000" w:themeColor="text1"/>
          <w:kern w:val="2"/>
          <w:sz w:val="30"/>
          <w:szCs w:val="30"/>
          <w:lang w:val="en-US" w:eastAsia="zh-CN" w:bidi="ar-SA"/>
          <w14:textFill>
            <w14:solidFill>
              <w14:schemeClr w14:val="tx1"/>
            </w14:solidFill>
          </w14:textFill>
        </w:rPr>
        <w:t>应通过重庆市药品和医用耗材招采管理系统采购。</w:t>
      </w:r>
    </w:p>
    <w:p>
      <w:pPr>
        <w:rPr>
          <w:rFonts w:hint="eastAsia"/>
          <w:color w:val="000000" w:themeColor="text1"/>
          <w:lang w:val="en-US" w:eastAsia="zh-CN"/>
          <w14:textFill>
            <w14:solidFill>
              <w14:schemeClr w14:val="tx1"/>
            </w14:solidFill>
          </w14:textFill>
        </w:rPr>
      </w:pPr>
    </w:p>
    <w:p>
      <w:pPr>
        <w:pStyle w:val="10"/>
        <w:jc w:val="left"/>
        <w:rPr>
          <w:rFonts w:hint="eastAsia"/>
          <w:color w:val="000000" w:themeColor="text1"/>
          <w:lang w:val="en-US" w:eastAsia="zh-CN"/>
          <w14:textFill>
            <w14:solidFill>
              <w14:schemeClr w14:val="tx1"/>
            </w14:solidFill>
          </w14:textFill>
        </w:rPr>
      </w:pPr>
    </w:p>
    <w:p>
      <w:pPr>
        <w:pStyle w:val="10"/>
        <w:rPr>
          <w:rFonts w:hint="eastAsia"/>
          <w:color w:val="000000" w:themeColor="text1"/>
          <w:lang w:val="en-US" w:eastAsia="zh-CN"/>
          <w14:textFill>
            <w14:solidFill>
              <w14:schemeClr w14:val="tx1"/>
            </w14:solidFill>
          </w14:textFill>
        </w:rPr>
      </w:pPr>
    </w:p>
    <w:p>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2"/>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2"/>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color w:val="000000" w:themeColor="text1"/>
          <w14:textFill>
            <w14:solidFill>
              <w14:schemeClr w14:val="tx1"/>
            </w14:solidFill>
          </w14:textFill>
        </w:rPr>
      </w:pPr>
    </w:p>
    <w:p>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0" w:name="OLE_LINK22"/>
      <w:bookmarkStart w:id="81"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0"/>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2"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3"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1"/>
    </w:p>
    <w:bookmarkEnd w:id="82"/>
    <w:bookmarkEnd w:id="83"/>
    <w:p>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4"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4"/>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5"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6"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6"/>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7"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7"/>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8" w:name="OLE_LINK25"/>
      <w:bookmarkStart w:id="89"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8"/>
    </w:p>
    <w:bookmarkEnd w:id="89"/>
    <w:p>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（一）符合专业条件的供应商或者对招标文件作实质响应的供应商不足三家的；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（二）投标人的报价均已超过本项目采购预算，采购人不能支付的；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（三）出现影响采购公正的违法、违规行为的；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（四）因重大变故，采购任务取消的；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（五）法律、法规和遴选采购文件规定的其他应予废标，采购终止的情形。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bookmarkStart w:id="90" w:name="_Toc7572"/>
      <w:bookmarkStart w:id="91" w:name="_Toc102227313"/>
      <w:bookmarkStart w:id="92" w:name="_Toc76462337"/>
      <w:bookmarkStart w:id="93" w:name="_Toc106030892"/>
      <w:bookmarkStart w:id="94" w:name="_Toc29948"/>
      <w:bookmarkStart w:id="95" w:name="OLE_LINK109"/>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0"/>
      <w:bookmarkEnd w:id="91"/>
      <w:bookmarkEnd w:id="92"/>
      <w:bookmarkEnd w:id="93"/>
      <w:bookmarkEnd w:id="94"/>
    </w:p>
    <w:p>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5"/>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ind w:left="0" w:leftChars="0" w:firstLine="0" w:firstLineChars="0"/>
        <w:rPr>
          <w:rFonts w:hint="eastAsia"/>
          <w:color w:val="000000" w:themeColor="text1"/>
          <w14:textFill>
            <w14:solidFill>
              <w14:schemeClr w14:val="tx1"/>
            </w14:solidFill>
          </w14:textFill>
        </w:rPr>
      </w:pPr>
    </w:p>
    <w:p>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6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pPr>
        <w:ind w:firstLine="0" w:firstLineChars="0"/>
        <w:jc w:val="center"/>
        <w:rPr>
          <w:rFonts w:hint="eastAsia"/>
          <w:b/>
          <w:bCs/>
          <w:color w:val="000000" w:themeColor="text1"/>
          <w:sz w:val="36"/>
          <w:szCs w:val="36"/>
          <w14:textFill>
            <w14:solidFill>
              <w14:schemeClr w14:val="tx1"/>
            </w14:solidFill>
          </w14:textFill>
        </w:rPr>
      </w:pPr>
    </w:p>
    <w:p>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31803"/>
      <w:bookmarkStart w:id="118" w:name="_Toc14115"/>
      <w:bookmarkStart w:id="119" w:name="_Toc27813"/>
      <w:bookmarkStart w:id="120" w:name="_Toc1376"/>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9692"/>
      <w:bookmarkStart w:id="124" w:name="_Toc29161"/>
      <w:bookmarkStart w:id="125" w:name="_Toc23448"/>
      <w:bookmarkStart w:id="126" w:name="_Toc11973"/>
      <w:bookmarkStart w:id="127" w:name="_Toc961"/>
      <w:bookmarkStart w:id="128" w:name="_Toc14134"/>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226"/>
      <w:bookmarkEnd w:id="129"/>
      <w:bookmarkStart w:id="130" w:name="_Toc404"/>
      <w:bookmarkEnd w:id="130"/>
      <w:bookmarkStart w:id="131" w:name="_Toc9103"/>
      <w:bookmarkEnd w:id="131"/>
      <w:bookmarkStart w:id="132" w:name="_Toc31370"/>
      <w:bookmarkEnd w:id="132"/>
      <w:bookmarkStart w:id="133" w:name="_Toc17636"/>
      <w:bookmarkStart w:id="134" w:name="_Toc23948"/>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550"/>
      <w:bookmarkStart w:id="136" w:name="_Toc29715"/>
      <w:bookmarkStart w:id="137" w:name="_Toc7653"/>
      <w:bookmarkStart w:id="138" w:name="_Toc23777"/>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23313"/>
      <w:bookmarkStart w:id="145" w:name="_Toc26259"/>
      <w:bookmarkStart w:id="146" w:name="_Toc22187"/>
      <w:bookmarkStart w:id="147" w:name="_Toc20872"/>
      <w:bookmarkStart w:id="148" w:name="_Toc8271"/>
      <w:bookmarkStart w:id="149" w:name="_Toc876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9264"/>
      <w:bookmarkStart w:id="157" w:name="_Toc17815"/>
      <w:bookmarkStart w:id="158" w:name="_Toc21077"/>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pPr>
        <w:pStyle w:val="5"/>
        <w:rPr>
          <w:rFonts w:hint="eastAsia"/>
          <w:color w:val="000000" w:themeColor="text1"/>
          <w14:textFill>
            <w14:solidFill>
              <w14:schemeClr w14:val="tx1"/>
            </w14:solidFill>
          </w14:textFill>
        </w:rPr>
      </w:pPr>
    </w:p>
    <w:bookmarkEnd w:id="159"/>
    <w:p>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pPr>
        <w:pStyle w:val="5"/>
        <w:rPr>
          <w:rFonts w:hint="eastAsia"/>
          <w:color w:val="000000" w:themeColor="text1"/>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3"/>
    <w:p>
      <w:pPr>
        <w:pStyle w:val="5"/>
        <w:ind w:left="0" w:leftChars="0" w:firstLine="0" w:firstLineChars="0"/>
        <w:rPr>
          <w:rFonts w:hint="eastAsia"/>
          <w:b w:val="0"/>
          <w:bCs w:val="0"/>
          <w:color w:val="000000" w:themeColor="text1"/>
          <w14:textFill>
            <w14:solidFill>
              <w14:schemeClr w14:val="tx1"/>
            </w14:solidFill>
          </w14:textFill>
        </w:rPr>
      </w:pPr>
    </w:p>
    <w:p>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color w:val="000000" w:themeColor="text1"/>
          <w14:textFill>
            <w14:solidFill>
              <w14:schemeClr w14:val="tx1"/>
            </w14:solidFill>
          </w14:textFill>
        </w:rPr>
      </w:pPr>
    </w:p>
    <w:p>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28229916"/>
      <w:bookmarkStart w:id="167" w:name="_Toc128229302"/>
      <w:bookmarkStart w:id="168" w:name="_Toc166139912"/>
      <w:bookmarkStart w:id="169" w:name="_Toc128229745"/>
      <w:bookmarkStart w:id="170" w:name="_Toc156815770"/>
      <w:bookmarkStart w:id="171" w:name="_Toc175017342"/>
      <w:bookmarkStart w:id="172" w:name="_Toc156196559"/>
      <w:bookmarkStart w:id="173" w:name="_Toc156730450"/>
      <w:bookmarkStart w:id="174" w:name="_Toc166549448"/>
      <w:bookmarkStart w:id="175" w:name="_Toc156196470"/>
      <w:bookmarkStart w:id="176" w:name="_Toc173677397"/>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56730451"/>
      <w:bookmarkStart w:id="178" w:name="_Toc156196560"/>
      <w:bookmarkStart w:id="179" w:name="_Toc128229746"/>
      <w:bookmarkStart w:id="180" w:name="_Toc156815771"/>
      <w:bookmarkStart w:id="181" w:name="_Toc173677398"/>
      <w:bookmarkStart w:id="182" w:name="_Toc166549449"/>
      <w:bookmarkStart w:id="183" w:name="_Toc128229303"/>
      <w:bookmarkStart w:id="184" w:name="_Toc166139913"/>
      <w:bookmarkStart w:id="185" w:name="_Toc128229917"/>
      <w:bookmarkStart w:id="186" w:name="_Toc175017343"/>
      <w:bookmarkStart w:id="187" w:name="_Toc1561964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color w:val="000000" w:themeColor="text1"/>
          <w14:textFill>
            <w14:solidFill>
              <w14:schemeClr w14:val="tx1"/>
            </w14:solidFill>
          </w14:textFill>
        </w:rPr>
      </w:pPr>
    </w:p>
    <w:p>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014297"/>
      <w:bookmarkStart w:id="189" w:name="_Toc173677399"/>
      <w:bookmarkStart w:id="190" w:name="_Toc128229304"/>
      <w:bookmarkStart w:id="191" w:name="_Toc128229747"/>
      <w:bookmarkStart w:id="192" w:name="_Toc175017344"/>
      <w:bookmarkStart w:id="193" w:name="_Toc237057793"/>
      <w:bookmarkStart w:id="194" w:name="_Toc156196472"/>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pPr>
        <w:pStyle w:val="15"/>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pPr>
        <w:pStyle w:val="10"/>
        <w:rPr>
          <w:color w:val="000000" w:themeColor="text1"/>
          <w14:textFill>
            <w14:solidFill>
              <w14:schemeClr w14:val="tx1"/>
            </w14:solidFill>
          </w14:textFill>
        </w:rPr>
      </w:pPr>
    </w:p>
    <w:p>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ind w:left="0" w:leftChars="0" w:firstLine="0" w:firstLineChars="0"/>
        <w:jc w:val="left"/>
        <w:rPr>
          <w:rFonts w:hint="eastAsia"/>
          <w:color w:val="000000" w:themeColor="text1"/>
          <w:lang w:val="en-US" w:eastAsia="zh-CN"/>
          <w14:textFill>
            <w14:solidFill>
              <w14:schemeClr w14:val="tx1"/>
            </w14:solidFill>
          </w14:textFill>
        </w:rPr>
      </w:pPr>
    </w:p>
    <w:p>
      <w:pPr>
        <w:ind w:left="0" w:leftChars="0" w:firstLine="0" w:firstLineChars="0"/>
        <w:jc w:val="both"/>
        <w:rPr>
          <w:rFonts w:hint="eastAsia"/>
          <w:color w:val="000000" w:themeColor="text1"/>
          <w:lang w:val="en-US" w:eastAsia="zh-CN"/>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ind w:left="0" w:leftChars="0" w:firstLine="0" w:firstLineChars="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rPr>
          <w:rFonts w:hint="eastAsia"/>
          <w:color w:val="000000" w:themeColor="text1"/>
          <w:lang w:val="en-US" w:eastAsia="zh-CN"/>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422AB4B-1475-4235-8A39-B459B8996BC4}"/>
  </w:font>
  <w:font w:name="仿宋_GB2312">
    <w:panose1 w:val="02010609030101010101"/>
    <w:charset w:val="86"/>
    <w:family w:val="modern"/>
    <w:pitch w:val="default"/>
    <w:sig w:usb0="00000001" w:usb1="080E0000" w:usb2="00000000" w:usb3="00000000" w:csb0="00040000" w:csb1="00000000"/>
    <w:embedRegular r:id="rId2" w:fontKey="{6160CFF8-3662-49C0-AA60-E9696C637BF5}"/>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4B776F20-919F-4C08-8CBB-8AC562D60E6B}"/>
  </w:font>
  <w:font w:name="微软雅黑">
    <w:panose1 w:val="020B0503020204020204"/>
    <w:charset w:val="86"/>
    <w:family w:val="swiss"/>
    <w:pitch w:val="default"/>
    <w:sig w:usb0="80000287" w:usb1="280F3C52" w:usb2="00000016" w:usb3="00000000" w:csb0="0004001F" w:csb1="00000000"/>
    <w:embedRegular r:id="rId4" w:fontKey="{6B151483-F45E-4C3E-84FE-F3069ECDCAF6}"/>
  </w:font>
  <w:font w:name="方正仿宋_GBK">
    <w:panose1 w:val="02000000000000000000"/>
    <w:charset w:val="86"/>
    <w:family w:val="script"/>
    <w:pitch w:val="default"/>
    <w:sig w:usb0="A00002BF" w:usb1="38CF7CFA" w:usb2="00082016" w:usb3="00000000" w:csb0="00040001" w:csb1="00000000"/>
    <w:embedRegular r:id="rId5" w:fontKey="{5169BEAE-23CE-4A78-8212-D508B0006354}"/>
  </w:font>
  <w:font w:name="仿宋">
    <w:panose1 w:val="02010609060101010101"/>
    <w:charset w:val="86"/>
    <w:family w:val="auto"/>
    <w:pitch w:val="default"/>
    <w:sig w:usb0="800002BF" w:usb1="38CF7CFA" w:usb2="00000016" w:usb3="00000000" w:csb0="00040001" w:csb1="00000000"/>
    <w:embedRegular r:id="rId6" w:fontKey="{E2EA8065-F7FA-4508-A4BA-6104F300101D}"/>
  </w:font>
  <w:font w:name="方正仿宋_GB18030">
    <w:panose1 w:val="02000000000000000000"/>
    <w:charset w:val="86"/>
    <w:family w:val="auto"/>
    <w:pitch w:val="default"/>
    <w:sig w:usb0="00000001" w:usb1="08000000" w:usb2="00000000" w:usb3="00000000" w:csb0="00040000" w:csb1="00000000"/>
    <w:embedRegular r:id="rId7" w:fontKey="{6BC32EB2-57F3-4650-ADBA-26C34F0A456A}"/>
  </w:font>
  <w:font w:name="华文仿宋">
    <w:panose1 w:val="02010600040101010101"/>
    <w:charset w:val="86"/>
    <w:family w:val="auto"/>
    <w:pitch w:val="default"/>
    <w:sig w:usb0="00000287" w:usb1="080F0000" w:usb2="00000000" w:usb3="00000000" w:csb0="0004009F" w:csb1="DFD70000"/>
    <w:embedRegular r:id="rId8" w:fontKey="{1BD8948A-EE29-4549-9E86-31A280958C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264E69"/>
    <w:rsid w:val="00285085"/>
    <w:rsid w:val="003F23CE"/>
    <w:rsid w:val="004D6899"/>
    <w:rsid w:val="00C34DAD"/>
    <w:rsid w:val="00CD1788"/>
    <w:rsid w:val="02F53218"/>
    <w:rsid w:val="03C70711"/>
    <w:rsid w:val="044E498E"/>
    <w:rsid w:val="04DA4474"/>
    <w:rsid w:val="04F03C97"/>
    <w:rsid w:val="060A0D89"/>
    <w:rsid w:val="061D286A"/>
    <w:rsid w:val="0721638A"/>
    <w:rsid w:val="07433537"/>
    <w:rsid w:val="07524795"/>
    <w:rsid w:val="07EC4BEA"/>
    <w:rsid w:val="08744CD2"/>
    <w:rsid w:val="088A4403"/>
    <w:rsid w:val="08F301FA"/>
    <w:rsid w:val="09491BC8"/>
    <w:rsid w:val="099472E7"/>
    <w:rsid w:val="09D92F4C"/>
    <w:rsid w:val="09E638BB"/>
    <w:rsid w:val="0AFC15E8"/>
    <w:rsid w:val="0B022976"/>
    <w:rsid w:val="0B226B74"/>
    <w:rsid w:val="0B4B7E79"/>
    <w:rsid w:val="0C4C20FB"/>
    <w:rsid w:val="0C625CD5"/>
    <w:rsid w:val="0C8C24F7"/>
    <w:rsid w:val="0CCD48BE"/>
    <w:rsid w:val="0CD143AE"/>
    <w:rsid w:val="0CE340E1"/>
    <w:rsid w:val="0D817B82"/>
    <w:rsid w:val="0DAD6BC9"/>
    <w:rsid w:val="0DB22432"/>
    <w:rsid w:val="0DE60DCF"/>
    <w:rsid w:val="0DFF319D"/>
    <w:rsid w:val="0E2B3F92"/>
    <w:rsid w:val="0EE24651"/>
    <w:rsid w:val="0F234C69"/>
    <w:rsid w:val="0F4A0448"/>
    <w:rsid w:val="0F4E7F38"/>
    <w:rsid w:val="0FB73D2F"/>
    <w:rsid w:val="0FF7237E"/>
    <w:rsid w:val="104650B3"/>
    <w:rsid w:val="11531836"/>
    <w:rsid w:val="11875983"/>
    <w:rsid w:val="12353631"/>
    <w:rsid w:val="13103E92"/>
    <w:rsid w:val="134A0A16"/>
    <w:rsid w:val="14E07884"/>
    <w:rsid w:val="15632263"/>
    <w:rsid w:val="15652DAA"/>
    <w:rsid w:val="157D50D3"/>
    <w:rsid w:val="17710C68"/>
    <w:rsid w:val="17DE11F9"/>
    <w:rsid w:val="18371EB1"/>
    <w:rsid w:val="18846779"/>
    <w:rsid w:val="190D49C0"/>
    <w:rsid w:val="192F2B88"/>
    <w:rsid w:val="19792371"/>
    <w:rsid w:val="197E141A"/>
    <w:rsid w:val="198F3627"/>
    <w:rsid w:val="1A646862"/>
    <w:rsid w:val="1A850730"/>
    <w:rsid w:val="1A8567D8"/>
    <w:rsid w:val="1AC11F06"/>
    <w:rsid w:val="1AD67034"/>
    <w:rsid w:val="1AE41750"/>
    <w:rsid w:val="1B5F527B"/>
    <w:rsid w:val="1B642891"/>
    <w:rsid w:val="1BC670A8"/>
    <w:rsid w:val="1BF754B3"/>
    <w:rsid w:val="1C0757AF"/>
    <w:rsid w:val="1C5A43C0"/>
    <w:rsid w:val="1CA94A00"/>
    <w:rsid w:val="1CD31A7D"/>
    <w:rsid w:val="1CFC7225"/>
    <w:rsid w:val="1D2115EA"/>
    <w:rsid w:val="1D214EDE"/>
    <w:rsid w:val="1D445027"/>
    <w:rsid w:val="1DB96EC4"/>
    <w:rsid w:val="1DD957B9"/>
    <w:rsid w:val="1EDD4E34"/>
    <w:rsid w:val="1F38650F"/>
    <w:rsid w:val="1F5F584A"/>
    <w:rsid w:val="1FF05635"/>
    <w:rsid w:val="20250841"/>
    <w:rsid w:val="2031368A"/>
    <w:rsid w:val="215C64E4"/>
    <w:rsid w:val="23005595"/>
    <w:rsid w:val="231177A3"/>
    <w:rsid w:val="23DF164F"/>
    <w:rsid w:val="245F009A"/>
    <w:rsid w:val="248F6BD1"/>
    <w:rsid w:val="2503311B"/>
    <w:rsid w:val="250E5D48"/>
    <w:rsid w:val="251C4037"/>
    <w:rsid w:val="25B21D4E"/>
    <w:rsid w:val="264D0AF2"/>
    <w:rsid w:val="26571970"/>
    <w:rsid w:val="265A6D6B"/>
    <w:rsid w:val="2661634B"/>
    <w:rsid w:val="275B723E"/>
    <w:rsid w:val="278A3680"/>
    <w:rsid w:val="27C070A1"/>
    <w:rsid w:val="27FC457D"/>
    <w:rsid w:val="283830DC"/>
    <w:rsid w:val="29014A82"/>
    <w:rsid w:val="292A6EC8"/>
    <w:rsid w:val="297168A5"/>
    <w:rsid w:val="2999069F"/>
    <w:rsid w:val="29D357B2"/>
    <w:rsid w:val="29EA6657"/>
    <w:rsid w:val="2AC944BF"/>
    <w:rsid w:val="2AD510B6"/>
    <w:rsid w:val="2AEB2519"/>
    <w:rsid w:val="2B634913"/>
    <w:rsid w:val="2B9176D3"/>
    <w:rsid w:val="2BD355F5"/>
    <w:rsid w:val="2BF612E4"/>
    <w:rsid w:val="2C8C39F6"/>
    <w:rsid w:val="2CB573F1"/>
    <w:rsid w:val="2CDE2C55"/>
    <w:rsid w:val="2CEF46B1"/>
    <w:rsid w:val="2D2B1461"/>
    <w:rsid w:val="2D5E5392"/>
    <w:rsid w:val="2DD65871"/>
    <w:rsid w:val="2DFB0E33"/>
    <w:rsid w:val="2E5A0250"/>
    <w:rsid w:val="2E7A444E"/>
    <w:rsid w:val="2F594063"/>
    <w:rsid w:val="2F8530AA"/>
    <w:rsid w:val="309761B9"/>
    <w:rsid w:val="31DA4154"/>
    <w:rsid w:val="3203475A"/>
    <w:rsid w:val="322F570A"/>
    <w:rsid w:val="327B0795"/>
    <w:rsid w:val="32807B59"/>
    <w:rsid w:val="32DD4AEB"/>
    <w:rsid w:val="33233306"/>
    <w:rsid w:val="332B5D17"/>
    <w:rsid w:val="343432F1"/>
    <w:rsid w:val="3482405C"/>
    <w:rsid w:val="34936269"/>
    <w:rsid w:val="354C4FE6"/>
    <w:rsid w:val="355A28E3"/>
    <w:rsid w:val="35773495"/>
    <w:rsid w:val="36394BEF"/>
    <w:rsid w:val="365D08DD"/>
    <w:rsid w:val="3757357E"/>
    <w:rsid w:val="377D6D5D"/>
    <w:rsid w:val="37FC2378"/>
    <w:rsid w:val="382673F4"/>
    <w:rsid w:val="383218F5"/>
    <w:rsid w:val="38AF2F46"/>
    <w:rsid w:val="395B30CE"/>
    <w:rsid w:val="39A46823"/>
    <w:rsid w:val="39DA2245"/>
    <w:rsid w:val="3AFB781A"/>
    <w:rsid w:val="3B9A7EDD"/>
    <w:rsid w:val="3CAB7EC8"/>
    <w:rsid w:val="3DAA0180"/>
    <w:rsid w:val="3E444130"/>
    <w:rsid w:val="3E6F5651"/>
    <w:rsid w:val="3F077B19"/>
    <w:rsid w:val="40B41A41"/>
    <w:rsid w:val="410F6C78"/>
    <w:rsid w:val="41714ABE"/>
    <w:rsid w:val="420460B1"/>
    <w:rsid w:val="42186000"/>
    <w:rsid w:val="42624F84"/>
    <w:rsid w:val="42A94F05"/>
    <w:rsid w:val="43505326"/>
    <w:rsid w:val="43721740"/>
    <w:rsid w:val="45605CF4"/>
    <w:rsid w:val="462036D5"/>
    <w:rsid w:val="464B69A4"/>
    <w:rsid w:val="468E4AE3"/>
    <w:rsid w:val="46C71DA3"/>
    <w:rsid w:val="47503B46"/>
    <w:rsid w:val="47B42327"/>
    <w:rsid w:val="47C307BC"/>
    <w:rsid w:val="47D429C9"/>
    <w:rsid w:val="47F92430"/>
    <w:rsid w:val="47F92D32"/>
    <w:rsid w:val="49E05655"/>
    <w:rsid w:val="4A3A2A9F"/>
    <w:rsid w:val="4A9C0A1D"/>
    <w:rsid w:val="4ACA3C0F"/>
    <w:rsid w:val="4ACE1952"/>
    <w:rsid w:val="4AD4683C"/>
    <w:rsid w:val="4B7A3887"/>
    <w:rsid w:val="4B9009B5"/>
    <w:rsid w:val="4BCD1C09"/>
    <w:rsid w:val="4C324687"/>
    <w:rsid w:val="4C714C8A"/>
    <w:rsid w:val="4CB93F3C"/>
    <w:rsid w:val="4D057181"/>
    <w:rsid w:val="4D245859"/>
    <w:rsid w:val="4EB1203F"/>
    <w:rsid w:val="4ED17C62"/>
    <w:rsid w:val="4F053468"/>
    <w:rsid w:val="4F4A3571"/>
    <w:rsid w:val="4F7F321A"/>
    <w:rsid w:val="4FE90FDC"/>
    <w:rsid w:val="500B71A4"/>
    <w:rsid w:val="52A35472"/>
    <w:rsid w:val="52B7716F"/>
    <w:rsid w:val="52E31D12"/>
    <w:rsid w:val="53746AD5"/>
    <w:rsid w:val="54696247"/>
    <w:rsid w:val="54857525"/>
    <w:rsid w:val="54AA0D3A"/>
    <w:rsid w:val="55055F70"/>
    <w:rsid w:val="55855303"/>
    <w:rsid w:val="568832FC"/>
    <w:rsid w:val="56A8574D"/>
    <w:rsid w:val="570B7A8A"/>
    <w:rsid w:val="57452F9B"/>
    <w:rsid w:val="57A31A70"/>
    <w:rsid w:val="5805272B"/>
    <w:rsid w:val="5846521D"/>
    <w:rsid w:val="585F790C"/>
    <w:rsid w:val="58E30CBE"/>
    <w:rsid w:val="58ED5699"/>
    <w:rsid w:val="5966544B"/>
    <w:rsid w:val="5A9009D2"/>
    <w:rsid w:val="5B9E54A5"/>
    <w:rsid w:val="5BD26DC8"/>
    <w:rsid w:val="5C0A6562"/>
    <w:rsid w:val="5C272C70"/>
    <w:rsid w:val="5C364A94"/>
    <w:rsid w:val="5CB52971"/>
    <w:rsid w:val="5E36363E"/>
    <w:rsid w:val="5E9345EC"/>
    <w:rsid w:val="5EDF7832"/>
    <w:rsid w:val="5F675C28"/>
    <w:rsid w:val="5F7E34EF"/>
    <w:rsid w:val="5FB92779"/>
    <w:rsid w:val="602A2D2E"/>
    <w:rsid w:val="607E307A"/>
    <w:rsid w:val="61891CD7"/>
    <w:rsid w:val="6198016C"/>
    <w:rsid w:val="61CF0031"/>
    <w:rsid w:val="621A6DD3"/>
    <w:rsid w:val="624F4CCE"/>
    <w:rsid w:val="62946B85"/>
    <w:rsid w:val="6299063F"/>
    <w:rsid w:val="62EE098B"/>
    <w:rsid w:val="631321A0"/>
    <w:rsid w:val="632C14B3"/>
    <w:rsid w:val="637013A0"/>
    <w:rsid w:val="637B3C62"/>
    <w:rsid w:val="63A454EE"/>
    <w:rsid w:val="63F27C99"/>
    <w:rsid w:val="64436AB5"/>
    <w:rsid w:val="64872E45"/>
    <w:rsid w:val="6502427A"/>
    <w:rsid w:val="65EC0A86"/>
    <w:rsid w:val="662704FC"/>
    <w:rsid w:val="663C37BC"/>
    <w:rsid w:val="665E3732"/>
    <w:rsid w:val="66F36853"/>
    <w:rsid w:val="66F9345B"/>
    <w:rsid w:val="6703077D"/>
    <w:rsid w:val="677376B1"/>
    <w:rsid w:val="67896ED4"/>
    <w:rsid w:val="68112A26"/>
    <w:rsid w:val="68633281"/>
    <w:rsid w:val="68817BAC"/>
    <w:rsid w:val="694A61EF"/>
    <w:rsid w:val="69AF0748"/>
    <w:rsid w:val="69C2222A"/>
    <w:rsid w:val="6A222CC8"/>
    <w:rsid w:val="6A9A6657"/>
    <w:rsid w:val="6AA10091"/>
    <w:rsid w:val="6AF6662F"/>
    <w:rsid w:val="6AFC79BD"/>
    <w:rsid w:val="6B19056F"/>
    <w:rsid w:val="6B1C1E0E"/>
    <w:rsid w:val="6B741C4A"/>
    <w:rsid w:val="6BA53BB1"/>
    <w:rsid w:val="6BB12556"/>
    <w:rsid w:val="6C044D7B"/>
    <w:rsid w:val="6CB93DB8"/>
    <w:rsid w:val="6DF36E56"/>
    <w:rsid w:val="6E1F7C4B"/>
    <w:rsid w:val="6E5F273D"/>
    <w:rsid w:val="6E6935BC"/>
    <w:rsid w:val="6E777A87"/>
    <w:rsid w:val="6E8977BA"/>
    <w:rsid w:val="6F7915DC"/>
    <w:rsid w:val="6F8306AD"/>
    <w:rsid w:val="6FDE3B35"/>
    <w:rsid w:val="6FF944CB"/>
    <w:rsid w:val="70027824"/>
    <w:rsid w:val="70161521"/>
    <w:rsid w:val="70AB3A18"/>
    <w:rsid w:val="71092E34"/>
    <w:rsid w:val="721D26F3"/>
    <w:rsid w:val="729A3D44"/>
    <w:rsid w:val="735E7467"/>
    <w:rsid w:val="74A25132"/>
    <w:rsid w:val="74A4534E"/>
    <w:rsid w:val="74B44E65"/>
    <w:rsid w:val="750C6A4F"/>
    <w:rsid w:val="76516E0F"/>
    <w:rsid w:val="76A52432"/>
    <w:rsid w:val="771C566F"/>
    <w:rsid w:val="79534C4C"/>
    <w:rsid w:val="79764DDF"/>
    <w:rsid w:val="7A545D6B"/>
    <w:rsid w:val="7A601D17"/>
    <w:rsid w:val="7BCC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2025-06-24T02:21:56Z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60FA8019B3AE4A699F7FE9BD43F90908_12</vt:lpwstr>
  </property>
</Properties>
</file>