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4336">
      <w:pPr>
        <w:spacing w:before="172" w:line="281" w:lineRule="auto"/>
        <w:ind w:left="2277" w:right="316" w:hanging="1921"/>
        <w:jc w:val="center"/>
        <w:outlineLvl w:val="0"/>
        <w:rPr>
          <w:rFonts w:hint="eastAsia" w:ascii="方正小标宋_GBK" w:hAnsi="方正小标宋_GBK" w:eastAsia="方正小标宋_GBK" w:cs="方正小标宋_GBK"/>
          <w:b/>
          <w:bCs/>
          <w:color w:val="auto"/>
          <w:spacing w:val="3"/>
          <w:sz w:val="44"/>
          <w:szCs w:val="44"/>
          <w:highlight w:val="none"/>
        </w:rPr>
      </w:pPr>
      <w:r>
        <w:rPr>
          <w:rFonts w:hint="eastAsia" w:ascii="方正小标宋_GBK" w:hAnsi="方正小标宋_GBK" w:eastAsia="方正小标宋_GBK" w:cs="方正小标宋_GBK"/>
          <w:b/>
          <w:bCs/>
          <w:color w:val="auto"/>
          <w:spacing w:val="3"/>
          <w:sz w:val="44"/>
          <w:szCs w:val="44"/>
          <w:highlight w:val="none"/>
        </w:rPr>
        <w:t>重庆医科大学附属康复医院</w:t>
      </w:r>
    </w:p>
    <w:p w14:paraId="64E1E040">
      <w:pPr>
        <w:spacing w:before="172" w:line="281" w:lineRule="auto"/>
        <w:ind w:left="2277" w:right="316" w:hanging="1921"/>
        <w:jc w:val="center"/>
        <w:outlineLvl w:val="0"/>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b/>
          <w:bCs/>
          <w:color w:val="auto"/>
          <w:spacing w:val="3"/>
          <w:sz w:val="44"/>
          <w:szCs w:val="44"/>
          <w:highlight w:val="none"/>
        </w:rPr>
        <w:t>配电设备</w:t>
      </w:r>
      <w:r>
        <w:rPr>
          <w:rFonts w:hint="eastAsia" w:ascii="方正小标宋_GBK" w:hAnsi="方正小标宋_GBK" w:eastAsia="方正小标宋_GBK" w:cs="方正小标宋_GBK"/>
          <w:b/>
          <w:bCs/>
          <w:color w:val="auto"/>
          <w:spacing w:val="1"/>
          <w:sz w:val="44"/>
          <w:szCs w:val="44"/>
          <w:highlight w:val="none"/>
        </w:rPr>
        <w:t>维护保养服务</w:t>
      </w:r>
      <w:r>
        <w:rPr>
          <w:rFonts w:hint="eastAsia" w:ascii="方正小标宋_GBK" w:hAnsi="方正小标宋_GBK" w:eastAsia="方正小标宋_GBK" w:cs="方正小标宋_GBK"/>
          <w:b/>
          <w:bCs/>
          <w:color w:val="auto"/>
          <w:spacing w:val="1"/>
          <w:sz w:val="44"/>
          <w:szCs w:val="44"/>
          <w:highlight w:val="none"/>
          <w:lang w:val="en-US" w:eastAsia="zh-CN"/>
        </w:rPr>
        <w:t>需求</w:t>
      </w:r>
    </w:p>
    <w:p w14:paraId="2A6E632D">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outlineLvl w:val="0"/>
        <w:rPr>
          <w:rFonts w:hint="default" w:ascii="方正仿宋_GBK" w:hAnsi="方正仿宋_GBK" w:eastAsia="方正黑体_GBK" w:cs="方正仿宋_GBK"/>
          <w:color w:val="auto"/>
          <w:spacing w:val="-5"/>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rPr>
        <w:t>一、</w:t>
      </w:r>
      <w:r>
        <w:rPr>
          <w:rFonts w:hint="eastAsia" w:ascii="方正黑体_GBK" w:hAnsi="方正黑体_GBK" w:eastAsia="方正黑体_GBK" w:cs="方正黑体_GBK"/>
          <w:b/>
          <w:bCs/>
          <w:color w:val="auto"/>
          <w:spacing w:val="-7"/>
          <w:sz w:val="32"/>
          <w:szCs w:val="32"/>
          <w:highlight w:val="none"/>
          <w:lang w:val="en-US" w:eastAsia="zh-CN"/>
        </w:rPr>
        <w:t>项目概况</w:t>
      </w:r>
    </w:p>
    <w:p w14:paraId="0A0CC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eastAsia="zh-CN"/>
        </w:rPr>
      </w:pPr>
      <w:r>
        <w:rPr>
          <w:rFonts w:hint="eastAsia" w:ascii="方正仿宋_GBK" w:hAnsi="方正仿宋_GBK" w:eastAsia="方正仿宋_GBK" w:cs="方正仿宋_GBK"/>
          <w:color w:val="auto"/>
          <w:spacing w:val="-5"/>
          <w:sz w:val="32"/>
          <w:szCs w:val="32"/>
          <w:highlight w:val="none"/>
          <w:lang w:val="en-US" w:eastAsia="zh-CN"/>
        </w:rPr>
        <w:t>对</w:t>
      </w:r>
      <w:r>
        <w:rPr>
          <w:rFonts w:ascii="方正仿宋_GBK" w:hAnsi="方正仿宋_GBK" w:eastAsia="方正仿宋_GBK" w:cs="方正仿宋_GBK"/>
          <w:color w:val="auto"/>
          <w:spacing w:val="-5"/>
          <w:sz w:val="32"/>
          <w:szCs w:val="32"/>
          <w:highlight w:val="none"/>
        </w:rPr>
        <w:t>重庆医科大学附属康复医院</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大渡口院区一期</w:t>
      </w:r>
      <w:r>
        <w:rPr>
          <w:rFonts w:hint="eastAsia" w:ascii="方正仿宋_GBK" w:hAnsi="方正仿宋_GBK" w:eastAsia="方正仿宋_GBK" w:cs="方正仿宋_GBK"/>
          <w:color w:val="auto"/>
          <w:spacing w:val="-5"/>
          <w:sz w:val="32"/>
          <w:szCs w:val="32"/>
          <w:highlight w:val="none"/>
          <w:lang w:eastAsia="zh-CN"/>
        </w:rPr>
        <w:t>）配电设备进行维护保养，包含全院（</w:t>
      </w:r>
      <w:r>
        <w:rPr>
          <w:rFonts w:hint="eastAsia" w:ascii="方正仿宋_GBK" w:hAnsi="方正仿宋_GBK" w:eastAsia="方正仿宋_GBK" w:cs="方正仿宋_GBK"/>
          <w:color w:val="auto"/>
          <w:spacing w:val="-5"/>
          <w:sz w:val="32"/>
          <w:szCs w:val="32"/>
          <w:highlight w:val="none"/>
          <w:lang w:val="en-US" w:eastAsia="zh-CN"/>
        </w:rPr>
        <w:t>一期</w:t>
      </w:r>
      <w:r>
        <w:rPr>
          <w:rFonts w:hint="eastAsia" w:ascii="方正仿宋_GBK" w:hAnsi="方正仿宋_GBK" w:eastAsia="方正仿宋_GBK" w:cs="方正仿宋_GBK"/>
          <w:color w:val="auto"/>
          <w:spacing w:val="-5"/>
          <w:sz w:val="32"/>
          <w:szCs w:val="32"/>
          <w:highlight w:val="none"/>
          <w:lang w:eastAsia="zh-CN"/>
        </w:rPr>
        <w:t>）高低压配电设备维护保养和预防性试验，操作工具的检测，对医院工作人员的培训和日常巡查等工作。</w:t>
      </w:r>
    </w:p>
    <w:p w14:paraId="1878FA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我院供电方式为双电源供电；第一电源由10kV滕王阁1#开闭所965#间隔供电；第二电源由10kV滕王阁1#开闭所972#间隔供电。供电容量为3760kVA。</w:t>
      </w:r>
    </w:p>
    <w:p w14:paraId="4CAF57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原高压开关柜旁新增两台高压中置出线柜，新增高压柜施放两根WDZB-YJY23-8.7/15KV 3*120型电缆至新建1600kVA箱式变电站，箱变电缆连接采用WDZB-YJY23-8.7/15KV 3*120型电缆，高压中置出线柜连接采用WDZB-YJY23-8.7/15KV 3*95型电缆。</w:t>
      </w:r>
    </w:p>
    <w:p w14:paraId="2DD902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系统图如下：</w:t>
      </w:r>
    </w:p>
    <w:p w14:paraId="56A8F5F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ascii="方正仿宋_GBK" w:hAnsi="方正仿宋_GBK" w:eastAsia="方正仿宋_GBK" w:cs="方正仿宋_GBK"/>
          <w:color w:val="auto"/>
          <w:spacing w:val="-5"/>
          <w:sz w:val="32"/>
          <w:szCs w:val="32"/>
          <w:highlight w:val="none"/>
          <w:lang w:val="en-US" w:eastAsia="zh-CN"/>
        </w:rPr>
      </w:pPr>
      <w:r>
        <w:rPr>
          <w:color w:val="auto"/>
          <w:highlight w:val="none"/>
        </w:rPr>
        <w:drawing>
          <wp:inline distT="0" distB="0" distL="114300" distR="114300">
            <wp:extent cx="5428615" cy="3186430"/>
            <wp:effectExtent l="0" t="0" r="63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28615" cy="3186430"/>
                    </a:xfrm>
                    <a:prstGeom prst="rect">
                      <a:avLst/>
                    </a:prstGeom>
                    <a:noFill/>
                    <a:ln>
                      <a:noFill/>
                    </a:ln>
                  </pic:spPr>
                </pic:pic>
              </a:graphicData>
            </a:graphic>
          </wp:inline>
        </w:drawing>
      </w:r>
    </w:p>
    <w:p w14:paraId="16FCCB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一</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维保线路</w:t>
      </w:r>
    </w:p>
    <w:p w14:paraId="034C1D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由10kV滕王阁1#开闭所出线柜下桩头到重庆医科大学附属康复医院高压配电室高压进线柜至全院各配电井（约20个）内配电箱进线端为止的有关高低压配电设施（含室外箱式变压器、自备发电机及配套设施，不含UPS配套设施），其中由10kV滕王阁1#开闭所出线柜下桩头到重庆医科大学附属康复医院高压配电室高压进线柜的两条高压电缆按需进行维保和按需年度预防性试验，自备发电机及配套设施按需进行维保。</w:t>
      </w:r>
    </w:p>
    <w:p w14:paraId="2A76CC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二</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设备概况</w:t>
      </w:r>
    </w:p>
    <w:p w14:paraId="189F10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eastAsia="zh-CN"/>
        </w:rPr>
      </w:pPr>
      <w:r>
        <w:rPr>
          <w:rFonts w:hint="eastAsia" w:ascii="方正仿宋_GBK" w:hAnsi="方正仿宋_GBK" w:eastAsia="方正仿宋_GBK" w:cs="方正仿宋_GBK"/>
          <w:color w:val="auto"/>
          <w:spacing w:val="-5"/>
          <w:sz w:val="32"/>
          <w:szCs w:val="32"/>
          <w:highlight w:val="none"/>
          <w:lang w:val="en-US" w:eastAsia="zh-CN"/>
        </w:rPr>
        <w:t>1.高低压配电设备清单</w:t>
      </w:r>
      <w:r>
        <w:rPr>
          <w:rFonts w:ascii="方正仿宋_GBK" w:hAnsi="方正仿宋_GBK" w:eastAsia="方正仿宋_GBK" w:cs="方正仿宋_GBK"/>
          <w:color w:val="auto"/>
          <w:spacing w:val="-5"/>
          <w:sz w:val="32"/>
          <w:szCs w:val="32"/>
          <w:highlight w:val="none"/>
        </w:rPr>
        <w:t>如下</w:t>
      </w:r>
      <w:r>
        <w:rPr>
          <w:rFonts w:hint="eastAsia" w:ascii="方正仿宋_GBK" w:hAnsi="方正仿宋_GBK" w:eastAsia="方正仿宋_GBK" w:cs="方正仿宋_GBK"/>
          <w:color w:val="auto"/>
          <w:spacing w:val="-5"/>
          <w:sz w:val="32"/>
          <w:szCs w:val="32"/>
          <w:highlight w:val="none"/>
          <w:lang w:val="en-US" w:eastAsia="zh-CN"/>
        </w:rPr>
        <w:t>(包含但不限于）</w:t>
      </w:r>
      <w:r>
        <w:rPr>
          <w:rFonts w:ascii="方正仿宋_GBK" w:hAnsi="方正仿宋_GBK" w:eastAsia="方正仿宋_GBK" w:cs="方正仿宋_GBK"/>
          <w:color w:val="auto"/>
          <w:spacing w:val="-5"/>
          <w:sz w:val="32"/>
          <w:szCs w:val="32"/>
          <w:highlight w:val="none"/>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1832"/>
        <w:gridCol w:w="1049"/>
      </w:tblGrid>
      <w:tr w14:paraId="67F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A36A9B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设备名称</w:t>
            </w:r>
          </w:p>
        </w:tc>
        <w:tc>
          <w:tcPr>
            <w:tcW w:w="981" w:type="pct"/>
            <w:vAlign w:val="top"/>
          </w:tcPr>
          <w:p w14:paraId="7D2F1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计量单位</w:t>
            </w:r>
          </w:p>
        </w:tc>
        <w:tc>
          <w:tcPr>
            <w:tcW w:w="562" w:type="pct"/>
            <w:vAlign w:val="top"/>
          </w:tcPr>
          <w:p w14:paraId="16DB468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数量</w:t>
            </w:r>
          </w:p>
        </w:tc>
      </w:tr>
      <w:tr w14:paraId="2E0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55" w:type="pct"/>
            <w:vAlign w:val="top"/>
          </w:tcPr>
          <w:p w14:paraId="705FF1D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t>
            </w:r>
            <w:r>
              <w:rPr>
                <w:rFonts w:hint="eastAsia" w:ascii="方正仿宋_GBK" w:hAnsi="方正仿宋_GBK" w:eastAsia="方正仿宋_GBK" w:cs="方正仿宋_GBK"/>
                <w:color w:val="auto"/>
                <w:spacing w:val="-5"/>
                <w:sz w:val="32"/>
                <w:szCs w:val="32"/>
                <w:highlight w:val="none"/>
                <w:lang w:val="en-US" w:eastAsia="zh-CN"/>
              </w:rPr>
              <w:t>由10kV滕王阁1#开闭所#965间隔到重庆医科大学附属康复医院高压配电室</w:t>
            </w:r>
            <w:r>
              <w:rPr>
                <w:rFonts w:hint="eastAsia" w:ascii="方正仿宋_GBK" w:hAnsi="方正仿宋_GBK" w:eastAsia="方正仿宋_GBK" w:cs="方正仿宋_GBK"/>
                <w:color w:val="auto"/>
                <w:spacing w:val="-5"/>
                <w:sz w:val="32"/>
                <w:szCs w:val="32"/>
                <w:highlight w:val="none"/>
                <w:vertAlign w:val="baseline"/>
                <w:lang w:val="en-US" w:eastAsia="zh-CN"/>
              </w:rPr>
              <w:t>）</w:t>
            </w:r>
          </w:p>
        </w:tc>
        <w:tc>
          <w:tcPr>
            <w:tcW w:w="1832" w:type="dxa"/>
            <w:vAlign w:val="center"/>
          </w:tcPr>
          <w:p w14:paraId="0C16CD3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根</w:t>
            </w:r>
          </w:p>
        </w:tc>
        <w:tc>
          <w:tcPr>
            <w:tcW w:w="562" w:type="pct"/>
            <w:vAlign w:val="center"/>
          </w:tcPr>
          <w:p w14:paraId="1749539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2E8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12E0F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t>
            </w:r>
            <w:r>
              <w:rPr>
                <w:rFonts w:hint="eastAsia" w:ascii="方正仿宋_GBK" w:hAnsi="方正仿宋_GBK" w:eastAsia="方正仿宋_GBK" w:cs="方正仿宋_GBK"/>
                <w:color w:val="auto"/>
                <w:spacing w:val="-5"/>
                <w:sz w:val="32"/>
                <w:szCs w:val="32"/>
                <w:highlight w:val="none"/>
                <w:lang w:val="en-US" w:eastAsia="zh-CN"/>
              </w:rPr>
              <w:t>由10kV滕王阁1#开闭所#972间隔到重庆医科大学附属康复医院高压配电室</w:t>
            </w:r>
            <w:r>
              <w:rPr>
                <w:rFonts w:hint="eastAsia" w:ascii="方正仿宋_GBK" w:hAnsi="方正仿宋_GBK" w:eastAsia="方正仿宋_GBK" w:cs="方正仿宋_GBK"/>
                <w:color w:val="auto"/>
                <w:spacing w:val="-5"/>
                <w:sz w:val="32"/>
                <w:szCs w:val="32"/>
                <w:highlight w:val="none"/>
                <w:vertAlign w:val="baseline"/>
                <w:lang w:val="en-US" w:eastAsia="zh-CN"/>
              </w:rPr>
              <w:t>）</w:t>
            </w:r>
          </w:p>
        </w:tc>
        <w:tc>
          <w:tcPr>
            <w:tcW w:w="1832" w:type="dxa"/>
            <w:vAlign w:val="center"/>
          </w:tcPr>
          <w:p w14:paraId="05D397F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根</w:t>
            </w:r>
          </w:p>
        </w:tc>
        <w:tc>
          <w:tcPr>
            <w:tcW w:w="562" w:type="pct"/>
            <w:vAlign w:val="center"/>
          </w:tcPr>
          <w:p w14:paraId="2592371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760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F9D5A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510KW柴油发电机组</w:t>
            </w:r>
          </w:p>
        </w:tc>
        <w:tc>
          <w:tcPr>
            <w:tcW w:w="981" w:type="pct"/>
            <w:vAlign w:val="top"/>
          </w:tcPr>
          <w:p w14:paraId="0D9014D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7C0D0C6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3A9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E1CE01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干式变压器SCB13-1250/10-1250kVA</w:t>
            </w:r>
          </w:p>
        </w:tc>
        <w:tc>
          <w:tcPr>
            <w:tcW w:w="981" w:type="pct"/>
            <w:vAlign w:val="top"/>
          </w:tcPr>
          <w:p w14:paraId="78F6B9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48344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07F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583891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干式变压器SCB13-630KVA</w:t>
            </w:r>
          </w:p>
        </w:tc>
        <w:tc>
          <w:tcPr>
            <w:tcW w:w="981" w:type="pct"/>
            <w:vAlign w:val="top"/>
          </w:tcPr>
          <w:p w14:paraId="274FDFF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3187E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184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92171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中置式进线柜</w:t>
            </w:r>
          </w:p>
        </w:tc>
        <w:tc>
          <w:tcPr>
            <w:tcW w:w="981" w:type="pct"/>
            <w:vAlign w:val="top"/>
          </w:tcPr>
          <w:p w14:paraId="730C3A9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AC2519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00E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E430D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专用计量柜</w:t>
            </w:r>
          </w:p>
        </w:tc>
        <w:tc>
          <w:tcPr>
            <w:tcW w:w="981" w:type="pct"/>
            <w:vAlign w:val="top"/>
          </w:tcPr>
          <w:p w14:paraId="7B8514C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6C1926A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7C9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0FD58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母线PT柜</w:t>
            </w:r>
          </w:p>
        </w:tc>
        <w:tc>
          <w:tcPr>
            <w:tcW w:w="981" w:type="pct"/>
            <w:vAlign w:val="top"/>
          </w:tcPr>
          <w:p w14:paraId="0EC74B8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D9BB6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793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1A1314B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中置式出线柜</w:t>
            </w:r>
          </w:p>
        </w:tc>
        <w:tc>
          <w:tcPr>
            <w:tcW w:w="981" w:type="pct"/>
            <w:vAlign w:val="top"/>
          </w:tcPr>
          <w:p w14:paraId="601FD7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B185B5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2420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88C2C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中置式隔离柜</w:t>
            </w:r>
          </w:p>
        </w:tc>
        <w:tc>
          <w:tcPr>
            <w:tcW w:w="981" w:type="pct"/>
            <w:vAlign w:val="top"/>
          </w:tcPr>
          <w:p w14:paraId="5BE13F4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1AE59B4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6FE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27F09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分段联络断路器柜</w:t>
            </w:r>
          </w:p>
        </w:tc>
        <w:tc>
          <w:tcPr>
            <w:tcW w:w="981" w:type="pct"/>
            <w:vAlign w:val="top"/>
          </w:tcPr>
          <w:p w14:paraId="7DCE853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7311B5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8C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720BE5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低压双电源切换柜GCS型</w:t>
            </w:r>
          </w:p>
        </w:tc>
        <w:tc>
          <w:tcPr>
            <w:tcW w:w="981" w:type="pct"/>
            <w:vAlign w:val="top"/>
          </w:tcPr>
          <w:p w14:paraId="52B43C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D84292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0B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594DCED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高压出线柜KYN28-12型</w:t>
            </w:r>
          </w:p>
        </w:tc>
        <w:tc>
          <w:tcPr>
            <w:tcW w:w="981" w:type="pct"/>
            <w:vAlign w:val="top"/>
          </w:tcPr>
          <w:p w14:paraId="7AAFAB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6E73DA0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2C1E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5ACA2A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低压出线柜GCS型</w:t>
            </w:r>
          </w:p>
        </w:tc>
        <w:tc>
          <w:tcPr>
            <w:tcW w:w="981" w:type="pct"/>
            <w:vAlign w:val="top"/>
          </w:tcPr>
          <w:p w14:paraId="28C868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BF994F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14</w:t>
            </w:r>
          </w:p>
        </w:tc>
      </w:tr>
      <w:tr w14:paraId="5C3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7763F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低压电容补偿柜</w:t>
            </w:r>
          </w:p>
        </w:tc>
        <w:tc>
          <w:tcPr>
            <w:tcW w:w="981" w:type="pct"/>
            <w:vAlign w:val="top"/>
          </w:tcPr>
          <w:p w14:paraId="61DCACB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21B0A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596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4118A2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低压开关柜</w:t>
            </w:r>
          </w:p>
        </w:tc>
        <w:tc>
          <w:tcPr>
            <w:tcW w:w="981" w:type="pct"/>
            <w:vAlign w:val="top"/>
          </w:tcPr>
          <w:p w14:paraId="77CDCCC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6F394D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9</w:t>
            </w:r>
          </w:p>
        </w:tc>
      </w:tr>
      <w:tr w14:paraId="488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2A6CA8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特殊保护装置 变压器</w:t>
            </w:r>
          </w:p>
        </w:tc>
        <w:tc>
          <w:tcPr>
            <w:tcW w:w="981" w:type="pct"/>
            <w:vAlign w:val="top"/>
          </w:tcPr>
          <w:p w14:paraId="6F9A74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35E08C3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56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27C920E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特殊保护装置 柴油发电机</w:t>
            </w:r>
          </w:p>
        </w:tc>
        <w:tc>
          <w:tcPr>
            <w:tcW w:w="981" w:type="pct"/>
            <w:vAlign w:val="top"/>
          </w:tcPr>
          <w:p w14:paraId="63E7959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597411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DFC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BCEB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电容调试1KV以下</w:t>
            </w:r>
          </w:p>
        </w:tc>
        <w:tc>
          <w:tcPr>
            <w:tcW w:w="981" w:type="pct"/>
            <w:vAlign w:val="top"/>
          </w:tcPr>
          <w:p w14:paraId="7940FCF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组</w:t>
            </w:r>
          </w:p>
        </w:tc>
        <w:tc>
          <w:tcPr>
            <w:tcW w:w="562" w:type="pct"/>
            <w:vAlign w:val="top"/>
          </w:tcPr>
          <w:p w14:paraId="01B83A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323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7EBCAEF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封闭母线1250A/4P</w:t>
            </w:r>
          </w:p>
        </w:tc>
        <w:tc>
          <w:tcPr>
            <w:tcW w:w="981" w:type="pct"/>
            <w:shd w:val="clear" w:color="auto" w:fill="auto"/>
            <w:vAlign w:val="top"/>
          </w:tcPr>
          <w:p w14:paraId="1FCA35B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2" w:type="pct"/>
            <w:shd w:val="clear" w:color="auto" w:fill="auto"/>
            <w:vAlign w:val="top"/>
          </w:tcPr>
          <w:p w14:paraId="2F0829D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6</w:t>
            </w:r>
          </w:p>
        </w:tc>
      </w:tr>
      <w:tr w14:paraId="1B4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D0A681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高压电缆WDZB-YJV22-8.7/15-3X70</w:t>
            </w:r>
          </w:p>
        </w:tc>
        <w:tc>
          <w:tcPr>
            <w:tcW w:w="981" w:type="pct"/>
            <w:shd w:val="clear" w:color="auto" w:fill="auto"/>
            <w:vAlign w:val="top"/>
          </w:tcPr>
          <w:p w14:paraId="564D613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2" w:type="pct"/>
            <w:shd w:val="clear" w:color="auto" w:fill="auto"/>
            <w:vAlign w:val="top"/>
          </w:tcPr>
          <w:p w14:paraId="4BF3FEA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80</w:t>
            </w:r>
          </w:p>
        </w:tc>
      </w:tr>
      <w:tr w14:paraId="2A40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426FA1C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户内终端电缆头3*70型（冷缩型）</w:t>
            </w:r>
          </w:p>
        </w:tc>
        <w:tc>
          <w:tcPr>
            <w:tcW w:w="981" w:type="pct"/>
            <w:shd w:val="clear" w:color="auto" w:fill="auto"/>
            <w:vAlign w:val="top"/>
          </w:tcPr>
          <w:p w14:paraId="321EF32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shd w:val="clear" w:color="auto" w:fill="auto"/>
            <w:vAlign w:val="top"/>
          </w:tcPr>
          <w:p w14:paraId="4EC41CB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8</w:t>
            </w:r>
          </w:p>
        </w:tc>
      </w:tr>
      <w:tr w14:paraId="393A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469D2AC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高压电缆冷缩头</w:t>
            </w:r>
          </w:p>
        </w:tc>
        <w:tc>
          <w:tcPr>
            <w:tcW w:w="981" w:type="pct"/>
            <w:shd w:val="clear" w:color="auto" w:fill="auto"/>
            <w:vAlign w:val="top"/>
          </w:tcPr>
          <w:p w14:paraId="0AB0FC2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74B1E7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2E9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C8DE65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二次电缆KWP-0.45-4*2.5</w:t>
            </w:r>
          </w:p>
        </w:tc>
        <w:tc>
          <w:tcPr>
            <w:tcW w:w="981" w:type="pct"/>
            <w:shd w:val="clear" w:color="auto" w:fill="auto"/>
            <w:vAlign w:val="top"/>
          </w:tcPr>
          <w:p w14:paraId="0AFFF99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05C1AE9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2F7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522BC1D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二次电缆KWP-0.45-8*2.5</w:t>
            </w:r>
          </w:p>
        </w:tc>
        <w:tc>
          <w:tcPr>
            <w:tcW w:w="981" w:type="pct"/>
            <w:shd w:val="clear" w:color="auto" w:fill="auto"/>
            <w:vAlign w:val="top"/>
          </w:tcPr>
          <w:p w14:paraId="2506DF1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17C17DB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7DE3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6F44BC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二次电缆KWP-0.45-10*2.5</w:t>
            </w:r>
          </w:p>
        </w:tc>
        <w:tc>
          <w:tcPr>
            <w:tcW w:w="981" w:type="pct"/>
            <w:vAlign w:val="top"/>
          </w:tcPr>
          <w:p w14:paraId="61867EA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p>
        </w:tc>
        <w:tc>
          <w:tcPr>
            <w:tcW w:w="562" w:type="pct"/>
            <w:vAlign w:val="top"/>
          </w:tcPr>
          <w:p w14:paraId="53E3E2C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p>
        </w:tc>
      </w:tr>
    </w:tbl>
    <w:p w14:paraId="1632A9BD">
      <w:pPr>
        <w:rPr>
          <w:rFonts w:hint="default" w:eastAsia="仿宋_GB2312"/>
          <w:color w:val="auto"/>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2.室外箱式变压器设备清单</w:t>
      </w:r>
      <w:r>
        <w:rPr>
          <w:rFonts w:hint="eastAsia"/>
          <w:color w:val="auto"/>
          <w:highlight w:val="none"/>
          <w:lang w:val="en-US" w:eastAsia="zh-CN"/>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gridCol w:w="1832"/>
        <w:gridCol w:w="1048"/>
      </w:tblGrid>
      <w:tr w14:paraId="03F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CD8FE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室外箱式变电站1600KVA</w:t>
            </w:r>
          </w:p>
        </w:tc>
        <w:tc>
          <w:tcPr>
            <w:tcW w:w="981" w:type="pct"/>
            <w:shd w:val="clear" w:color="auto" w:fill="auto"/>
            <w:vAlign w:val="top"/>
          </w:tcPr>
          <w:p w14:paraId="6300B93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台</w:t>
            </w:r>
          </w:p>
        </w:tc>
        <w:tc>
          <w:tcPr>
            <w:tcW w:w="561" w:type="pct"/>
            <w:shd w:val="clear" w:color="auto" w:fill="auto"/>
            <w:vAlign w:val="top"/>
          </w:tcPr>
          <w:p w14:paraId="0FCF18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1CD0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0243F1E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高压中置出线柜KYN28-12</w:t>
            </w:r>
          </w:p>
        </w:tc>
        <w:tc>
          <w:tcPr>
            <w:tcW w:w="981" w:type="pct"/>
            <w:shd w:val="clear" w:color="auto" w:fill="auto"/>
            <w:vAlign w:val="top"/>
          </w:tcPr>
          <w:p w14:paraId="78C87AE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面</w:t>
            </w:r>
          </w:p>
        </w:tc>
        <w:tc>
          <w:tcPr>
            <w:tcW w:w="561" w:type="pct"/>
            <w:shd w:val="clear" w:color="auto" w:fill="auto"/>
            <w:vAlign w:val="top"/>
          </w:tcPr>
          <w:p w14:paraId="589F9F6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368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25F1C7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高压电缆WDZB-YJY23-8.7/15KV 3*95</w:t>
            </w:r>
          </w:p>
        </w:tc>
        <w:tc>
          <w:tcPr>
            <w:tcW w:w="981" w:type="pct"/>
            <w:shd w:val="clear" w:color="auto" w:fill="auto"/>
            <w:vAlign w:val="top"/>
          </w:tcPr>
          <w:p w14:paraId="61BAB4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1" w:type="pct"/>
            <w:shd w:val="clear" w:color="auto" w:fill="auto"/>
            <w:vAlign w:val="top"/>
          </w:tcPr>
          <w:p w14:paraId="1114353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30</w:t>
            </w:r>
          </w:p>
        </w:tc>
      </w:tr>
      <w:tr w14:paraId="1B62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3973F5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高压电缆WDZB-YJY23-8.7/15KV 3*120</w:t>
            </w:r>
          </w:p>
        </w:tc>
        <w:tc>
          <w:tcPr>
            <w:tcW w:w="981" w:type="pct"/>
            <w:shd w:val="clear" w:color="auto" w:fill="auto"/>
            <w:vAlign w:val="top"/>
          </w:tcPr>
          <w:p w14:paraId="157BEC2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1" w:type="pct"/>
            <w:shd w:val="clear" w:color="auto" w:fill="auto"/>
            <w:vAlign w:val="top"/>
          </w:tcPr>
          <w:p w14:paraId="61CBBF5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200</w:t>
            </w:r>
          </w:p>
        </w:tc>
      </w:tr>
      <w:tr w14:paraId="4BD3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AD1219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10kV冷缩户内终端FYNLS-10(15)70-120 3*95</w:t>
            </w:r>
          </w:p>
        </w:tc>
        <w:tc>
          <w:tcPr>
            <w:tcW w:w="981" w:type="pct"/>
            <w:shd w:val="clear" w:color="auto" w:fill="auto"/>
            <w:vAlign w:val="top"/>
          </w:tcPr>
          <w:p w14:paraId="6D436F9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457F739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653E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5584AD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10kV冷缩户内终端FYNLS-10(15)70-120 3*120</w:t>
            </w:r>
          </w:p>
        </w:tc>
        <w:tc>
          <w:tcPr>
            <w:tcW w:w="981" w:type="pct"/>
            <w:shd w:val="clear" w:color="auto" w:fill="auto"/>
            <w:vAlign w:val="top"/>
          </w:tcPr>
          <w:p w14:paraId="5683729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5B81418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6A8B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1755E3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屏蔽型欧式电缆接头DWG-Ⅲ-15kV/630A 3*120</w:t>
            </w:r>
          </w:p>
        </w:tc>
        <w:tc>
          <w:tcPr>
            <w:tcW w:w="981" w:type="pct"/>
            <w:shd w:val="clear" w:color="auto" w:fill="auto"/>
            <w:vAlign w:val="top"/>
          </w:tcPr>
          <w:p w14:paraId="6C37BE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29FDD50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C75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780836C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电流互感器LZZBJ9-10 400/5 -0.2S/10P10 10/10VA</w:t>
            </w:r>
          </w:p>
        </w:tc>
        <w:tc>
          <w:tcPr>
            <w:tcW w:w="981" w:type="pct"/>
            <w:shd w:val="clear" w:color="auto" w:fill="auto"/>
            <w:vAlign w:val="top"/>
          </w:tcPr>
          <w:p w14:paraId="5A3D848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1" w:type="pct"/>
            <w:shd w:val="clear" w:color="auto" w:fill="auto"/>
            <w:vAlign w:val="top"/>
          </w:tcPr>
          <w:p w14:paraId="718FB4D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633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24DFB0B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电流互感器LZZBJ9-10 400/5 -0.5S/10P10 10/10VA</w:t>
            </w:r>
          </w:p>
        </w:tc>
        <w:tc>
          <w:tcPr>
            <w:tcW w:w="981" w:type="pct"/>
            <w:shd w:val="clear" w:color="auto" w:fill="auto"/>
            <w:vAlign w:val="top"/>
          </w:tcPr>
          <w:p w14:paraId="45F6C9E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1" w:type="pct"/>
            <w:shd w:val="clear" w:color="auto" w:fill="auto"/>
            <w:vAlign w:val="top"/>
          </w:tcPr>
          <w:p w14:paraId="1647F3C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6</w:t>
            </w:r>
          </w:p>
        </w:tc>
      </w:tr>
      <w:tr w14:paraId="07F2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15BCFA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进线柜搭接母排</w:t>
            </w:r>
          </w:p>
        </w:tc>
        <w:tc>
          <w:tcPr>
            <w:tcW w:w="981" w:type="pct"/>
            <w:shd w:val="clear" w:color="auto" w:fill="auto"/>
            <w:vAlign w:val="top"/>
          </w:tcPr>
          <w:p w14:paraId="23B72EA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123B6FF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84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D191D8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计量柜搭接铜排</w:t>
            </w:r>
          </w:p>
        </w:tc>
        <w:tc>
          <w:tcPr>
            <w:tcW w:w="981" w:type="pct"/>
            <w:shd w:val="clear" w:color="auto" w:fill="auto"/>
            <w:vAlign w:val="top"/>
          </w:tcPr>
          <w:p w14:paraId="0E70AE6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6D54F7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bl>
    <w:p w14:paraId="70BAAB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eastAsia="zh-CN"/>
        </w:rPr>
      </w:pPr>
      <w:r>
        <w:rPr>
          <w:rFonts w:hint="eastAsia" w:ascii="方正黑体_GBK" w:hAnsi="方正黑体_GBK" w:eastAsia="方正黑体_GBK" w:cs="方正黑体_GBK"/>
          <w:b/>
          <w:bCs/>
          <w:color w:val="auto"/>
          <w:spacing w:val="-7"/>
          <w:sz w:val="32"/>
          <w:szCs w:val="32"/>
          <w:highlight w:val="none"/>
        </w:rPr>
        <w:t>二、</w:t>
      </w:r>
      <w:r>
        <w:rPr>
          <w:rFonts w:hint="eastAsia" w:ascii="方正黑体_GBK" w:hAnsi="方正黑体_GBK" w:eastAsia="方正黑体_GBK" w:cs="方正黑体_GBK"/>
          <w:b/>
          <w:bCs/>
          <w:color w:val="auto"/>
          <w:spacing w:val="-7"/>
          <w:sz w:val="32"/>
          <w:szCs w:val="32"/>
          <w:highlight w:val="none"/>
          <w:lang w:val="en-US" w:eastAsia="zh-CN"/>
        </w:rPr>
        <w:t>服务地点</w:t>
      </w:r>
    </w:p>
    <w:p w14:paraId="4C0AFD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重庆市大渡口区钢城大道南段260号重庆医科大学附属康复医院（大渡口院区）</w:t>
      </w:r>
    </w:p>
    <w:p w14:paraId="46529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三、资格条件</w:t>
      </w:r>
    </w:p>
    <w:p w14:paraId="1B5BC6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（一）一般资格条件：</w:t>
      </w:r>
    </w:p>
    <w:p w14:paraId="1291B5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1.在中国境内注册，具备独立法人资格，具有有效的法人营业执照（副本）或事业单位法人证书（副本）或个体工商户营业执照或有效的自然人身份证明或社会团体法人登记证书。</w:t>
      </w:r>
    </w:p>
    <w:p w14:paraId="08EC3F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2.参加采购活动前三年内，在经营活动中没有重大违法记录</w:t>
      </w:r>
    </w:p>
    <w:p w14:paraId="0AE6FE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3.具有良好的商业信誉和健全的财务会计制度</w:t>
      </w:r>
    </w:p>
    <w:p w14:paraId="1E799E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4.具有履行合同所必需的设备和专业技术能力</w:t>
      </w:r>
    </w:p>
    <w:p w14:paraId="68D2AD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5.有依法缴纳税收和社会保障金的良好记录</w:t>
      </w:r>
    </w:p>
    <w:p w14:paraId="0B1991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（二）特定资格条件</w:t>
      </w:r>
    </w:p>
    <w:p w14:paraId="3E5543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1.具备在有效期内的安全生产许可证。</w:t>
      </w:r>
    </w:p>
    <w:p w14:paraId="7486C6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2.具备承装（修、试）电力设施许可证：承装类三级、承修类三级、承试类三级及以上资质。</w:t>
      </w:r>
    </w:p>
    <w:p w14:paraId="223337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3.具备电力工程施工总承包三级及以上资质或输变电工程专业承包叁级及以上资质。</w:t>
      </w:r>
    </w:p>
    <w:p w14:paraId="40EBCE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注：以上所有证明材料的复印件须加盖供应商公章，原件备查。</w:t>
      </w:r>
    </w:p>
    <w:p w14:paraId="7CFF13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四</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服务需求</w:t>
      </w:r>
    </w:p>
    <w:p w14:paraId="26A209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（一）日常定期检查维修、巡检服务</w:t>
      </w:r>
    </w:p>
    <w:p w14:paraId="22C95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1.服务范围内所有设施设备日常定期检查、维修，包含但不限于现存在的故障处理与保养，符合国家与辖区电力行业管理部门的规定，保证供配电系统无故障安全运行。</w:t>
      </w:r>
    </w:p>
    <w:p w14:paraId="30A6D1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2.针对配电室的实际运行情况，每月至少一次对高、低压配电设备、线路巡视、夏季电气设备巡检、重大节假日巡检，如有缺陷，即刻进行修复处理，确保供电安全。</w:t>
      </w:r>
    </w:p>
    <w:p w14:paraId="406397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3.对专业性较强的隐患处理，需由服务方结合现场情况提交切实可靠的整改方案。除正常的元配件采购周期外，响应周期不能超过2天。</w:t>
      </w:r>
    </w:p>
    <w:p w14:paraId="5AE5D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4.巡视要求：按规定检查变压器声响、测温装置、散热风机、接地线、电压指示、指示灯、绝缘子、避雷器、继电保护等各项设备设施，若发现故障必须配合院方时间，择期更换。</w:t>
      </w:r>
    </w:p>
    <w:p w14:paraId="6B35FC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5.配合院方处理断路器进出车故障，低压出线电缆及后端故障。</w:t>
      </w:r>
    </w:p>
    <w:p w14:paraId="30E657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6.定期不停电巡检。</w:t>
      </w:r>
    </w:p>
    <w:p w14:paraId="42E9A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7.每年为配电室内的配电设备提供两次清扫除尘检修服务，一次深度除尘检修服务在3月至4月，夏季用电高峰来临前停电进行；一次清扫除尘检修服务在10月带电进行。</w:t>
      </w:r>
    </w:p>
    <w:p w14:paraId="24B0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巡检工作中涉及到的零部件更换，单价在500元以下（含500元）零配件的更换由供应商承担。</w:t>
      </w:r>
    </w:p>
    <w:p w14:paraId="591DB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（二）年度预防性试验</w:t>
      </w:r>
    </w:p>
    <w:p w14:paraId="5EAB35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bCs/>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1.严格按照电力设备预试规程《电力设备预防性试验规程》DL/T596-2021，每年进行一次预防性试验，并提供合格年检与供电公司认可的预防性试验检测报告，并根据试验报告进行电力设备的缺陷处理。</w:t>
      </w:r>
      <w:r>
        <w:rPr>
          <w:rFonts w:hint="eastAsia" w:ascii="方正仿宋_GBK" w:hAnsi="方正仿宋_GBK" w:eastAsia="方正仿宋_GBK" w:cs="方正仿宋_GBK"/>
          <w:b/>
          <w:bCs/>
          <w:color w:val="auto"/>
          <w:spacing w:val="-5"/>
          <w:sz w:val="32"/>
          <w:szCs w:val="32"/>
          <w:highlight w:val="none"/>
          <w:lang w:val="en-US" w:eastAsia="zh-CN"/>
        </w:rPr>
        <w:t>在预防性检查测试中，向辖区供电部门办理高压停电报备的相关事宜。</w:t>
      </w:r>
    </w:p>
    <w:p w14:paraId="1246F1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试验主要包括但不限于：</w:t>
      </w:r>
    </w:p>
    <w:p w14:paraId="5F4B2B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（1）变压器电气特性试验：耐压前绝缘检测、耐压后绝缘检测、绕组直流电阻检测、绕组绝缘电阻检测、工频耐压检测、变比检测、油质检测等；</w:t>
      </w:r>
    </w:p>
    <w:p w14:paraId="5D4DC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（2）高压配电柜电气特性试验：工频耐压检测、绝缘检测、接触电阻检测、PT并列装置动作试验检测等；</w:t>
      </w:r>
    </w:p>
    <w:p w14:paraId="464EF5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（3）高压电缆试验：耐压前绝缘检测、耐压后绝缘检测、直流耐压检测等；</w:t>
      </w:r>
    </w:p>
    <w:p w14:paraId="5291F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（4）避雷器试验：耐压绝缘检测、工频耐压检测、泄露电流检测；</w:t>
      </w:r>
    </w:p>
    <w:p w14:paraId="20B354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（5）接地网：地阻检测；</w:t>
      </w:r>
    </w:p>
    <w:p w14:paraId="27A62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（6）继电保护装置试验：二次回路绝缘电阻测试、电流Ⅰ段速断、电流Ⅲ段过负、继电保护功能校验等试验；</w:t>
      </w:r>
    </w:p>
    <w:p w14:paraId="2C83C1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（7）电压互感器试验：绕组绝缘电阻测试、交流耐压试验等；</w:t>
      </w:r>
    </w:p>
    <w:p w14:paraId="7E84C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（8）电流互感器试验：绕组及末屏绝缘电阻测试、交流耐压试验；</w:t>
      </w:r>
    </w:p>
    <w:p w14:paraId="022777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p>
    <w:p w14:paraId="2E1820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（9）真空断路器试验：绝缘电阻测试、交流耐压试验、回路电阻测试等试验；</w:t>
      </w:r>
    </w:p>
    <w:p w14:paraId="3540C9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（10）母线试验：绝缘电阻测试、交流耐压试验等</w:t>
      </w:r>
    </w:p>
    <w:p w14:paraId="7D2D16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（11）双电源进线电缆试验：绝缘电阻测试、交流耐压试验等（按需）</w:t>
      </w:r>
    </w:p>
    <w:p w14:paraId="49BDC9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2.</w:t>
      </w:r>
      <w:r>
        <w:rPr>
          <w:rFonts w:hint="eastAsia" w:ascii="方正仿宋_GBK" w:hAnsi="方正仿宋_GBK" w:eastAsia="方正仿宋_GBK" w:cs="方正仿宋_GBK"/>
          <w:color w:val="auto"/>
          <w:spacing w:val="-5"/>
          <w:sz w:val="32"/>
          <w:szCs w:val="32"/>
          <w:highlight w:val="none"/>
          <w:lang w:val="en-US" w:eastAsia="zh-CN"/>
        </w:rPr>
        <w:t>绝缘工具检测</w:t>
      </w:r>
    </w:p>
    <w:p w14:paraId="0B10D6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按国家要求，每年对配电室内绝缘靴、绝缘手套、电容式验电器、绝缘胶垫、接地棒等安全工具进行工频耐压试验等检测，并出具检测报告。</w:t>
      </w:r>
    </w:p>
    <w:p w14:paraId="6F1381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3.预试工作后7个日历天后，向院方提供正式检验报告存档备案，并及时消除在预试中发现的设备故障隐患。</w:t>
      </w:r>
    </w:p>
    <w:p w14:paraId="22CE9C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4.检查柴油发电机与各个配电系统之间的切换与联络正常（启动、闭锁），确保应急电源能够正常启动。</w:t>
      </w:r>
    </w:p>
    <w:p w14:paraId="60BAC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年度预防性试验工作中涉及到的零部件更换，单价在500元以下（含500元）的零配件的更换由供应商承担。</w:t>
      </w:r>
    </w:p>
    <w:p w14:paraId="6D77C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（三）停电检修</w:t>
      </w:r>
    </w:p>
    <w:p w14:paraId="359B87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1.每年至少一次停电检修，对电气设备进行维护保养，并出具维护保养记录提交给院方</w:t>
      </w:r>
    </w:p>
    <w:p w14:paraId="31EF63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2.停电检修内容包含但不限于：孔洞封堵、检测操作机构及回路、紧固螺栓、触头涂导电膏等等，以提高设备生命周期，保障供电的可靠性。</w:t>
      </w:r>
    </w:p>
    <w:p w14:paraId="434A1A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（四）应急抢修响应机制及双电源切换保障机制</w:t>
      </w:r>
    </w:p>
    <w:p w14:paraId="11261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1.服务期内，当医院出现无法立即恢复供电的电气故障时，服务方接到院方应急通知至现场总时间原则上不超过60分钟，周末节假日期间到达时间不超过120分钟，服务方应设有24小时固定应急服务电话。</w:t>
      </w:r>
    </w:p>
    <w:p w14:paraId="5F8BDC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2.瞬时性故障，例如负荷开关熔断器冲断等，人员到达现场后30-60分钟内恢复正常供电。</w:t>
      </w:r>
    </w:p>
    <w:p w14:paraId="3717B3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3.功能性故障，例如控制电源消失、有控制电源断路器不能电动储能/不能电动分合闸等，人员到达现场后45-120分钟内恢复正常供电。</w:t>
      </w:r>
    </w:p>
    <w:p w14:paraId="12349B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4.短路性故障，例如电缆短路（不含电源进线侧）、变压器短路、避雷器互感器短路等造成关键元件损坏情况，人员到达现场后，尽快提出故障处理方案，6-12小时内恢复正常供电；</w:t>
      </w:r>
    </w:p>
    <w:p w14:paraId="66ACE2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5.进线侧电源电缆故障，此类故障需到供电局办理相应工作票。人员到达现场后，1小时内提出解决方案，24小时内恢复正常供电。</w:t>
      </w:r>
    </w:p>
    <w:p w14:paraId="02E13F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6.如遇计划性停电双电源切换情况，根据供电部门下发的停电时间，提前派出技术人员执行双电源倒换及现场供电保障工作。</w:t>
      </w:r>
    </w:p>
    <w:p w14:paraId="5BFC33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（五）培训服务</w:t>
      </w:r>
    </w:p>
    <w:p w14:paraId="61FFB7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1.培训目的</w:t>
      </w:r>
    </w:p>
    <w:p w14:paraId="4D0DD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为保障对医院配电室设备运行情况及时了解、掌控；第一时间消除故障隐患，同时为提高正常工作用电的可靠性，减少设备及人员安全事故的发生，确保配电设备处于良好的状态，每月对</w:t>
      </w:r>
      <w:r>
        <w:rPr>
          <w:rFonts w:hint="eastAsia" w:ascii="方正仿宋_GBK" w:hAnsi="方正仿宋_GBK" w:eastAsia="方正仿宋_GBK" w:cs="方正仿宋_GBK"/>
          <w:color w:val="auto"/>
          <w:spacing w:val="-5"/>
          <w:sz w:val="32"/>
          <w:szCs w:val="32"/>
          <w:highlight w:val="none"/>
          <w:lang w:val="en-US" w:eastAsia="zh-CN"/>
        </w:rPr>
        <w:t>物业高低压配电值班人员</w:t>
      </w:r>
      <w:r>
        <w:rPr>
          <w:rFonts w:hint="default" w:ascii="方正仿宋_GBK" w:hAnsi="方正仿宋_GBK" w:eastAsia="方正仿宋_GBK" w:cs="方正仿宋_GBK"/>
          <w:color w:val="auto"/>
          <w:spacing w:val="-5"/>
          <w:sz w:val="32"/>
          <w:szCs w:val="32"/>
          <w:highlight w:val="none"/>
          <w:lang w:val="en-US" w:eastAsia="zh-CN"/>
        </w:rPr>
        <w:t>进行相关安全操作及技术运行维护培训，</w:t>
      </w:r>
      <w:r>
        <w:rPr>
          <w:rFonts w:hint="eastAsia" w:ascii="方正仿宋_GBK" w:hAnsi="方正仿宋_GBK" w:eastAsia="方正仿宋_GBK" w:cs="方正仿宋_GBK"/>
          <w:color w:val="auto"/>
          <w:spacing w:val="-5"/>
          <w:sz w:val="32"/>
          <w:szCs w:val="32"/>
          <w:highlight w:val="none"/>
          <w:lang w:val="en-US" w:eastAsia="zh-CN"/>
        </w:rPr>
        <w:t>做好培训记录，</w:t>
      </w:r>
      <w:r>
        <w:rPr>
          <w:rFonts w:hint="default" w:ascii="方正仿宋_GBK" w:hAnsi="方正仿宋_GBK" w:eastAsia="方正仿宋_GBK" w:cs="方正仿宋_GBK"/>
          <w:color w:val="auto"/>
          <w:spacing w:val="-5"/>
          <w:sz w:val="32"/>
          <w:szCs w:val="32"/>
          <w:highlight w:val="none"/>
          <w:lang w:val="en-US" w:eastAsia="zh-CN"/>
        </w:rPr>
        <w:t>确保配电室的正常运行，保障医院电力供应稳定。</w:t>
      </w:r>
    </w:p>
    <w:p w14:paraId="130B13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2.培训内容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6057"/>
        <w:gridCol w:w="1880"/>
      </w:tblGrid>
      <w:tr w14:paraId="6AB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4CB5ACF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序号</w:t>
            </w:r>
          </w:p>
        </w:tc>
        <w:tc>
          <w:tcPr>
            <w:tcW w:w="6095" w:type="dxa"/>
            <w:noWrap w:val="0"/>
            <w:vAlign w:val="center"/>
          </w:tcPr>
          <w:p w14:paraId="21F4BF04">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培训内容</w:t>
            </w:r>
          </w:p>
        </w:tc>
        <w:tc>
          <w:tcPr>
            <w:tcW w:w="1894" w:type="dxa"/>
            <w:noWrap w:val="0"/>
            <w:vAlign w:val="center"/>
          </w:tcPr>
          <w:p w14:paraId="74797950">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备注</w:t>
            </w:r>
          </w:p>
        </w:tc>
      </w:tr>
      <w:tr w14:paraId="16A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15AB95F8">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1</w:t>
            </w:r>
          </w:p>
        </w:tc>
        <w:tc>
          <w:tcPr>
            <w:tcW w:w="6095" w:type="dxa"/>
            <w:noWrap w:val="0"/>
            <w:vAlign w:val="center"/>
          </w:tcPr>
          <w:p w14:paraId="618DFC5B">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交接班工作内容及注意事项培训</w:t>
            </w:r>
          </w:p>
        </w:tc>
        <w:tc>
          <w:tcPr>
            <w:tcW w:w="1894" w:type="dxa"/>
            <w:noWrap w:val="0"/>
            <w:vAlign w:val="center"/>
          </w:tcPr>
          <w:p w14:paraId="0C579F8E">
            <w:pPr>
              <w:spacing w:line="420" w:lineRule="exact"/>
              <w:jc w:val="center"/>
              <w:rPr>
                <w:rFonts w:ascii="宋体" w:hAnsi="宋体" w:cs="Times New Roman"/>
                <w:color w:val="auto"/>
                <w:sz w:val="28"/>
                <w:szCs w:val="28"/>
                <w:highlight w:val="none"/>
              </w:rPr>
            </w:pPr>
          </w:p>
        </w:tc>
      </w:tr>
      <w:tr w14:paraId="6C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EED84D">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2</w:t>
            </w:r>
          </w:p>
        </w:tc>
        <w:tc>
          <w:tcPr>
            <w:tcW w:w="6095" w:type="dxa"/>
            <w:noWrap w:val="0"/>
            <w:vAlign w:val="center"/>
          </w:tcPr>
          <w:p w14:paraId="1DE2EDD8">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倒闸操作安全操作规程培训</w:t>
            </w:r>
          </w:p>
        </w:tc>
        <w:tc>
          <w:tcPr>
            <w:tcW w:w="1894" w:type="dxa"/>
            <w:noWrap w:val="0"/>
            <w:vAlign w:val="center"/>
          </w:tcPr>
          <w:p w14:paraId="05526580">
            <w:pPr>
              <w:spacing w:line="420" w:lineRule="exact"/>
              <w:jc w:val="center"/>
              <w:rPr>
                <w:rFonts w:ascii="宋体" w:hAnsi="宋体" w:cs="Times New Roman"/>
                <w:color w:val="auto"/>
                <w:sz w:val="28"/>
                <w:szCs w:val="28"/>
                <w:highlight w:val="none"/>
              </w:rPr>
            </w:pPr>
          </w:p>
        </w:tc>
      </w:tr>
      <w:tr w14:paraId="352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AE1648">
            <w:pPr>
              <w:spacing w:line="420" w:lineRule="exact"/>
              <w:jc w:val="center"/>
              <w:rPr>
                <w:rFonts w:ascii="宋体" w:hAnsi="宋体" w:cs="Times New Roman"/>
                <w:color w:val="auto"/>
                <w:sz w:val="28"/>
                <w:szCs w:val="28"/>
                <w:highlight w:val="none"/>
              </w:rPr>
            </w:pPr>
            <w:r>
              <w:rPr>
                <w:rFonts w:ascii="宋体" w:hAnsi="宋体" w:cs="Times New Roman"/>
                <w:color w:val="auto"/>
                <w:sz w:val="28"/>
                <w:szCs w:val="28"/>
                <w:highlight w:val="none"/>
              </w:rPr>
              <w:t>3</w:t>
            </w:r>
          </w:p>
        </w:tc>
        <w:tc>
          <w:tcPr>
            <w:tcW w:w="6095" w:type="dxa"/>
            <w:noWrap w:val="0"/>
            <w:vAlign w:val="center"/>
          </w:tcPr>
          <w:p w14:paraId="4900E43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供电部门市电停送电程序及注意事项培训</w:t>
            </w:r>
          </w:p>
        </w:tc>
        <w:tc>
          <w:tcPr>
            <w:tcW w:w="1894" w:type="dxa"/>
            <w:noWrap w:val="0"/>
            <w:vAlign w:val="center"/>
          </w:tcPr>
          <w:p w14:paraId="3BB349F5">
            <w:pPr>
              <w:spacing w:line="420" w:lineRule="exact"/>
              <w:jc w:val="center"/>
              <w:rPr>
                <w:rFonts w:ascii="宋体" w:hAnsi="宋体" w:cs="Times New Roman"/>
                <w:color w:val="auto"/>
                <w:sz w:val="28"/>
                <w:szCs w:val="28"/>
                <w:highlight w:val="none"/>
              </w:rPr>
            </w:pPr>
          </w:p>
        </w:tc>
      </w:tr>
      <w:tr w14:paraId="70D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C0491C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4</w:t>
            </w:r>
          </w:p>
        </w:tc>
        <w:tc>
          <w:tcPr>
            <w:tcW w:w="6095" w:type="dxa"/>
            <w:noWrap w:val="0"/>
            <w:vAlign w:val="center"/>
          </w:tcPr>
          <w:p w14:paraId="25898815">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检修、试验、维护安全操作规程培训</w:t>
            </w:r>
          </w:p>
        </w:tc>
        <w:tc>
          <w:tcPr>
            <w:tcW w:w="1894" w:type="dxa"/>
            <w:noWrap w:val="0"/>
            <w:vAlign w:val="center"/>
          </w:tcPr>
          <w:p w14:paraId="585021D7">
            <w:pPr>
              <w:spacing w:line="420" w:lineRule="exact"/>
              <w:jc w:val="center"/>
              <w:rPr>
                <w:rFonts w:ascii="宋体" w:hAnsi="宋体" w:cs="Times New Roman"/>
                <w:color w:val="auto"/>
                <w:sz w:val="28"/>
                <w:szCs w:val="28"/>
                <w:highlight w:val="none"/>
              </w:rPr>
            </w:pPr>
          </w:p>
        </w:tc>
      </w:tr>
      <w:tr w14:paraId="6B3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F6FC639">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5</w:t>
            </w:r>
          </w:p>
        </w:tc>
        <w:tc>
          <w:tcPr>
            <w:tcW w:w="6095" w:type="dxa"/>
            <w:noWrap w:val="0"/>
            <w:vAlign w:val="center"/>
          </w:tcPr>
          <w:p w14:paraId="433FDE6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设备缺陷管理培训</w:t>
            </w:r>
          </w:p>
        </w:tc>
        <w:tc>
          <w:tcPr>
            <w:tcW w:w="1894" w:type="dxa"/>
            <w:noWrap w:val="0"/>
            <w:vAlign w:val="center"/>
          </w:tcPr>
          <w:p w14:paraId="5FB3DEB3">
            <w:pPr>
              <w:spacing w:line="420" w:lineRule="exact"/>
              <w:jc w:val="center"/>
              <w:rPr>
                <w:rFonts w:ascii="宋体" w:hAnsi="宋体" w:cs="Times New Roman"/>
                <w:color w:val="auto"/>
                <w:sz w:val="28"/>
                <w:szCs w:val="28"/>
                <w:highlight w:val="none"/>
              </w:rPr>
            </w:pPr>
          </w:p>
        </w:tc>
      </w:tr>
      <w:tr w14:paraId="0214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AD08DC1">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6</w:t>
            </w:r>
          </w:p>
        </w:tc>
        <w:tc>
          <w:tcPr>
            <w:tcW w:w="6095" w:type="dxa"/>
            <w:noWrap w:val="0"/>
            <w:vAlign w:val="center"/>
          </w:tcPr>
          <w:p w14:paraId="46537005">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巡视检查内容及管理培训</w:t>
            </w:r>
          </w:p>
        </w:tc>
        <w:tc>
          <w:tcPr>
            <w:tcW w:w="1894" w:type="dxa"/>
            <w:noWrap w:val="0"/>
            <w:vAlign w:val="center"/>
          </w:tcPr>
          <w:p w14:paraId="4A0B35CF">
            <w:pPr>
              <w:spacing w:line="420" w:lineRule="exact"/>
              <w:jc w:val="center"/>
              <w:rPr>
                <w:rFonts w:ascii="宋体" w:hAnsi="宋体" w:cs="Times New Roman"/>
                <w:color w:val="auto"/>
                <w:sz w:val="28"/>
                <w:szCs w:val="28"/>
                <w:highlight w:val="none"/>
              </w:rPr>
            </w:pPr>
          </w:p>
        </w:tc>
      </w:tr>
      <w:tr w14:paraId="49F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9A6B293">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7</w:t>
            </w:r>
          </w:p>
        </w:tc>
        <w:tc>
          <w:tcPr>
            <w:tcW w:w="6095" w:type="dxa"/>
            <w:noWrap w:val="0"/>
            <w:vAlign w:val="center"/>
          </w:tcPr>
          <w:p w14:paraId="6CAACDC0">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突发</w:t>
            </w:r>
            <w:r>
              <w:rPr>
                <w:rFonts w:ascii="宋体" w:hAnsi="宋体" w:cs="Times New Roman"/>
                <w:color w:val="auto"/>
                <w:sz w:val="28"/>
                <w:szCs w:val="28"/>
                <w:highlight w:val="none"/>
              </w:rPr>
              <w:t>紧急</w:t>
            </w:r>
            <w:r>
              <w:rPr>
                <w:rFonts w:hint="eastAsia" w:ascii="宋体" w:hAnsi="宋体" w:cs="Times New Roman"/>
                <w:color w:val="auto"/>
                <w:sz w:val="28"/>
                <w:szCs w:val="28"/>
                <w:highlight w:val="none"/>
              </w:rPr>
              <w:t>事故应急处置培训</w:t>
            </w:r>
          </w:p>
        </w:tc>
        <w:tc>
          <w:tcPr>
            <w:tcW w:w="1894" w:type="dxa"/>
            <w:noWrap w:val="0"/>
            <w:vAlign w:val="center"/>
          </w:tcPr>
          <w:p w14:paraId="4A468A2D">
            <w:pPr>
              <w:spacing w:line="420" w:lineRule="exact"/>
              <w:jc w:val="center"/>
              <w:rPr>
                <w:rFonts w:ascii="宋体" w:hAnsi="宋体" w:cs="Times New Roman"/>
                <w:color w:val="auto"/>
                <w:sz w:val="28"/>
                <w:szCs w:val="28"/>
                <w:highlight w:val="none"/>
              </w:rPr>
            </w:pPr>
          </w:p>
        </w:tc>
      </w:tr>
      <w:tr w14:paraId="252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44DD421">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8</w:t>
            </w:r>
          </w:p>
        </w:tc>
        <w:tc>
          <w:tcPr>
            <w:tcW w:w="6095" w:type="dxa"/>
            <w:noWrap w:val="0"/>
            <w:vAlign w:val="center"/>
          </w:tcPr>
          <w:p w14:paraId="579AD33D">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操作工具使用培训</w:t>
            </w:r>
          </w:p>
        </w:tc>
        <w:tc>
          <w:tcPr>
            <w:tcW w:w="1894" w:type="dxa"/>
            <w:noWrap w:val="0"/>
            <w:vAlign w:val="center"/>
          </w:tcPr>
          <w:p w14:paraId="6D89604E">
            <w:pPr>
              <w:spacing w:line="420" w:lineRule="exact"/>
              <w:jc w:val="center"/>
              <w:rPr>
                <w:rFonts w:ascii="宋体" w:hAnsi="宋体" w:cs="Times New Roman"/>
                <w:color w:val="auto"/>
                <w:sz w:val="28"/>
                <w:szCs w:val="28"/>
                <w:highlight w:val="none"/>
              </w:rPr>
            </w:pPr>
          </w:p>
        </w:tc>
      </w:tr>
      <w:tr w14:paraId="0A9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2A41995E">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9</w:t>
            </w:r>
          </w:p>
        </w:tc>
        <w:tc>
          <w:tcPr>
            <w:tcW w:w="6095" w:type="dxa"/>
            <w:noWrap w:val="0"/>
            <w:vAlign w:val="center"/>
          </w:tcPr>
          <w:p w14:paraId="1CADD2C2">
            <w:pPr>
              <w:spacing w:line="420" w:lineRule="exact"/>
              <w:jc w:val="center"/>
              <w:rPr>
                <w:rFonts w:ascii="宋体" w:hAnsi="宋体" w:cs="Times New Roman"/>
                <w:color w:val="auto"/>
                <w:sz w:val="28"/>
                <w:szCs w:val="28"/>
                <w:highlight w:val="none"/>
              </w:rPr>
            </w:pPr>
            <w:r>
              <w:rPr>
                <w:rFonts w:ascii="宋体" w:hAnsi="宋体" w:cs="Times New Roman"/>
                <w:color w:val="auto"/>
                <w:sz w:val="28"/>
                <w:szCs w:val="28"/>
                <w:highlight w:val="none"/>
              </w:rPr>
              <w:t>消防器具</w:t>
            </w:r>
            <w:r>
              <w:rPr>
                <w:rFonts w:hint="eastAsia" w:ascii="宋体" w:hAnsi="宋体" w:cs="Times New Roman"/>
                <w:color w:val="auto"/>
                <w:sz w:val="28"/>
                <w:szCs w:val="28"/>
                <w:highlight w:val="none"/>
              </w:rPr>
              <w:t>使用培训</w:t>
            </w:r>
          </w:p>
        </w:tc>
        <w:tc>
          <w:tcPr>
            <w:tcW w:w="1894" w:type="dxa"/>
            <w:noWrap w:val="0"/>
            <w:vAlign w:val="center"/>
          </w:tcPr>
          <w:p w14:paraId="524EC59C">
            <w:pPr>
              <w:spacing w:line="420" w:lineRule="exact"/>
              <w:jc w:val="center"/>
              <w:rPr>
                <w:rFonts w:ascii="宋体" w:hAnsi="宋体" w:cs="Times New Roman"/>
                <w:color w:val="auto"/>
                <w:sz w:val="28"/>
                <w:szCs w:val="28"/>
                <w:highlight w:val="none"/>
              </w:rPr>
            </w:pPr>
          </w:p>
        </w:tc>
      </w:tr>
      <w:tr w14:paraId="59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49B134E">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10</w:t>
            </w:r>
          </w:p>
        </w:tc>
        <w:tc>
          <w:tcPr>
            <w:tcW w:w="6095" w:type="dxa"/>
            <w:noWrap w:val="0"/>
            <w:vAlign w:val="center"/>
          </w:tcPr>
          <w:p w14:paraId="33542DEF">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高压</w:t>
            </w:r>
            <w:r>
              <w:rPr>
                <w:rFonts w:ascii="宋体" w:hAnsi="宋体" w:cs="Times New Roman"/>
                <w:color w:val="auto"/>
                <w:sz w:val="28"/>
                <w:szCs w:val="28"/>
                <w:highlight w:val="none"/>
              </w:rPr>
              <w:t>配电设备工作原理培训</w:t>
            </w:r>
          </w:p>
        </w:tc>
        <w:tc>
          <w:tcPr>
            <w:tcW w:w="1894" w:type="dxa"/>
            <w:noWrap w:val="0"/>
            <w:vAlign w:val="center"/>
          </w:tcPr>
          <w:p w14:paraId="08383767">
            <w:pPr>
              <w:spacing w:line="420" w:lineRule="exact"/>
              <w:jc w:val="center"/>
              <w:rPr>
                <w:rFonts w:ascii="宋体" w:hAnsi="宋体" w:cs="Times New Roman"/>
                <w:color w:val="auto"/>
                <w:sz w:val="28"/>
                <w:szCs w:val="28"/>
                <w:highlight w:val="none"/>
              </w:rPr>
            </w:pPr>
          </w:p>
        </w:tc>
      </w:tr>
      <w:tr w14:paraId="2EF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561BED23">
            <w:pPr>
              <w:spacing w:line="420" w:lineRule="exact"/>
              <w:jc w:val="center"/>
              <w:rPr>
                <w:rFonts w:hint="eastAsia" w:ascii="宋体" w:hAnsi="宋体" w:cs="Times New Roman"/>
                <w:color w:val="auto"/>
                <w:sz w:val="28"/>
                <w:szCs w:val="28"/>
                <w:highlight w:val="none"/>
              </w:rPr>
            </w:pPr>
          </w:p>
        </w:tc>
        <w:tc>
          <w:tcPr>
            <w:tcW w:w="6095" w:type="dxa"/>
            <w:noWrap w:val="0"/>
            <w:vAlign w:val="center"/>
          </w:tcPr>
          <w:p w14:paraId="77977569">
            <w:pPr>
              <w:spacing w:line="420" w:lineRule="exact"/>
              <w:jc w:val="center"/>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w:t>
            </w:r>
          </w:p>
        </w:tc>
        <w:tc>
          <w:tcPr>
            <w:tcW w:w="1894" w:type="dxa"/>
            <w:noWrap w:val="0"/>
            <w:vAlign w:val="center"/>
          </w:tcPr>
          <w:p w14:paraId="7BE3C643">
            <w:pPr>
              <w:spacing w:line="420" w:lineRule="exact"/>
              <w:jc w:val="center"/>
              <w:rPr>
                <w:rFonts w:ascii="宋体" w:hAnsi="宋体" w:cs="Times New Roman"/>
                <w:color w:val="auto"/>
                <w:sz w:val="28"/>
                <w:szCs w:val="28"/>
                <w:highlight w:val="none"/>
              </w:rPr>
            </w:pPr>
          </w:p>
        </w:tc>
      </w:tr>
    </w:tbl>
    <w:p w14:paraId="6C378C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3.应急演练</w:t>
      </w:r>
    </w:p>
    <w:p w14:paraId="63B8F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结合医院实际情况，协助医院制定突发事故应急演练脚本或计划性停电应急演练脚本，并协助医院完成演练工作。</w:t>
      </w:r>
    </w:p>
    <w:p w14:paraId="655252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五、安装维修、检测、试验执行标准</w:t>
      </w:r>
    </w:p>
    <w:p w14:paraId="392092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1.严格按照国家电力行业检修维护规程，对配电设备设施进行维护、试验、测试、检修、事故处理及巡视检查。</w:t>
      </w:r>
    </w:p>
    <w:p w14:paraId="2F4CDE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2.符合《中华人民共和国国家标准》GB50150-2016电气装置安装工程电气设备交接试验标准</w:t>
      </w:r>
    </w:p>
    <w:p w14:paraId="3B7C80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3.符合DL/T596-2021电力设备预防性试验规程。</w:t>
      </w:r>
    </w:p>
    <w:p w14:paraId="10175B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4.符合WS434-2013医院电力系统运行管理</w:t>
      </w:r>
    </w:p>
    <w:p w14:paraId="4D6842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5.符合GB50303-2015《建筑电气工程施工质量验收规范》</w:t>
      </w:r>
    </w:p>
    <w:p w14:paraId="540C9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6.符合GB26860-2011《电力安全工作规程 发电厂和变电站电气部分》</w:t>
      </w:r>
    </w:p>
    <w:p w14:paraId="74DB58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7.服从《供电营业规则》（电力工业部令第8号）及渝价（1998）614号文对已运行的高压电力设施进行维护管理。</w:t>
      </w:r>
    </w:p>
    <w:p w14:paraId="59114F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8.符合《中华人民共和国电力行业标准》DL/T715-2000</w:t>
      </w:r>
    </w:p>
    <w:p w14:paraId="201E69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六、项目人员要求</w:t>
      </w:r>
    </w:p>
    <w:p w14:paraId="3CE34D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1.项目负责人要求</w:t>
      </w:r>
    </w:p>
    <w:p w14:paraId="7AE249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（1）必须全面了解院方供配电系统，熟悉国家相关法律法规、行业规定及流程，严格按照院方管理要求执行维保服务。</w:t>
      </w:r>
    </w:p>
    <w:p w14:paraId="661DB7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（2）项目负责人具有二级及以上注册建造师证书（专业方向：机电工程）和电力工程师中级证书，至少承担过1次预防性项目的统筹工作。</w:t>
      </w:r>
    </w:p>
    <w:p w14:paraId="0C8390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（3）如有紧急事件，项目负责人必须2小时内抵达现场解决问题。</w:t>
      </w:r>
    </w:p>
    <w:p w14:paraId="00BE93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（4）项目负责人定期对高低压配电系统维保管理的所有资料进行核查、整理、归档、装订。</w:t>
      </w:r>
    </w:p>
    <w:p w14:paraId="24C779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（5）根据公司管理模式，项目负责人定期为本公司日常维保人员提供现场培训，做好培训记录。</w:t>
      </w:r>
    </w:p>
    <w:p w14:paraId="5B217F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2.日常维保人员要求</w:t>
      </w:r>
    </w:p>
    <w:p w14:paraId="1AB3DE0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服务方需安排至少2人持有电工证的专业巡检人员每月对配电设备进行1次巡视检查，其中至少1名巡检人员需持有高压电工证。</w:t>
      </w:r>
    </w:p>
    <w:p w14:paraId="7336B6F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3.预防性试验人员要求</w:t>
      </w:r>
    </w:p>
    <w:p w14:paraId="392D17D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试验人员均需持证上岗，持证种类包含但不限于</w:t>
      </w:r>
      <w:r>
        <w:rPr>
          <w:rFonts w:hint="eastAsia" w:ascii="方正仿宋_GBK" w:hAnsi="方正仿宋_GBK" w:eastAsia="方正仿宋_GBK" w:cs="方正仿宋_GBK"/>
          <w:color w:val="auto"/>
          <w:spacing w:val="-5"/>
          <w:szCs w:val="32"/>
          <w:highlight w:val="none"/>
          <w:lang w:eastAsia="zh-CN"/>
        </w:rPr>
        <w:t>高压电工作业</w:t>
      </w:r>
      <w:r>
        <w:rPr>
          <w:rFonts w:hint="eastAsia" w:ascii="方正仿宋_GBK" w:hAnsi="方正仿宋_GBK" w:eastAsia="方正仿宋_GBK" w:cs="方正仿宋_GBK"/>
          <w:color w:val="auto"/>
          <w:spacing w:val="-5"/>
          <w:szCs w:val="32"/>
          <w:highlight w:val="none"/>
          <w:lang w:val="en-US" w:eastAsia="zh-CN"/>
        </w:rPr>
        <w:t>证书、</w:t>
      </w:r>
      <w:r>
        <w:rPr>
          <w:rFonts w:hint="eastAsia" w:ascii="方正仿宋_GBK" w:hAnsi="方正仿宋_GBK" w:eastAsia="方正仿宋_GBK" w:cs="方正仿宋_GBK"/>
          <w:color w:val="auto"/>
          <w:spacing w:val="-5"/>
          <w:szCs w:val="32"/>
          <w:highlight w:val="none"/>
          <w:lang w:eastAsia="zh-CN"/>
        </w:rPr>
        <w:t>安全生产考核合格证书</w:t>
      </w:r>
      <w:r>
        <w:rPr>
          <w:rFonts w:hint="eastAsia" w:ascii="方正仿宋_GBK" w:hAnsi="方正仿宋_GBK" w:eastAsia="方正仿宋_GBK" w:cs="方正仿宋_GBK"/>
          <w:color w:val="auto"/>
          <w:spacing w:val="-5"/>
          <w:szCs w:val="32"/>
          <w:highlight w:val="none"/>
          <w:lang w:val="en-US" w:eastAsia="zh-CN"/>
        </w:rPr>
        <w:t>等</w:t>
      </w:r>
      <w:r>
        <w:rPr>
          <w:rFonts w:hint="eastAsia" w:ascii="方正仿宋_GBK" w:hAnsi="方正仿宋_GBK" w:eastAsia="方正仿宋_GBK" w:cs="方正仿宋_GBK"/>
          <w:color w:val="auto"/>
          <w:spacing w:val="-5"/>
          <w:szCs w:val="32"/>
          <w:highlight w:val="none"/>
          <w:lang w:eastAsia="zh-CN"/>
        </w:rPr>
        <w:t>。</w:t>
      </w:r>
    </w:p>
    <w:p w14:paraId="11189D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4.以上人员服务商均需提供至少一个月的社保缴纳证明</w:t>
      </w:r>
    </w:p>
    <w:p w14:paraId="4780DA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eastAsia" w:ascii="方正仿宋_GBK" w:hAnsi="方正仿宋_GBK" w:eastAsia="方正黑体_GBK" w:cs="方正仿宋_GBK"/>
          <w:color w:val="auto"/>
          <w:sz w:val="28"/>
          <w:szCs w:val="28"/>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七</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商务需求</w:t>
      </w:r>
    </w:p>
    <w:p w14:paraId="34C684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1.服务期：叁年。服务期内每次付款根据本项目分项报价、实际维保设备、维保时间据实结算维保费用。</w:t>
      </w:r>
    </w:p>
    <w:p w14:paraId="1CE5E3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2.验收标准：根据本项目技术要求的巡视、维护保养、高压预试、检测、培训等标准进行验收。</w:t>
      </w:r>
    </w:p>
    <w:p w14:paraId="185EC2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3.报价要求</w:t>
      </w:r>
    </w:p>
    <w:p w14:paraId="6B14A4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根据服务内容列出详细报价清单，参考格式如下：</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3038"/>
        <w:gridCol w:w="835"/>
        <w:gridCol w:w="1621"/>
        <w:gridCol w:w="810"/>
        <w:gridCol w:w="808"/>
        <w:gridCol w:w="1624"/>
      </w:tblGrid>
      <w:tr w14:paraId="5C8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0" w:type="pct"/>
            <w:noWrap w:val="0"/>
            <w:vAlign w:val="center"/>
          </w:tcPr>
          <w:p w14:paraId="418D1F56">
            <w:pPr>
              <w:widowControl/>
              <w:spacing w:line="420" w:lineRule="exact"/>
              <w:jc w:val="center"/>
              <w:rPr>
                <w:rFonts w:hint="default" w:ascii="宋体" w:hAnsi="宋体" w:eastAsia="仿宋_GB2312"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序号</w:t>
            </w:r>
          </w:p>
        </w:tc>
        <w:tc>
          <w:tcPr>
            <w:tcW w:w="1627" w:type="pct"/>
            <w:noWrap w:val="0"/>
            <w:vAlign w:val="center"/>
          </w:tcPr>
          <w:p w14:paraId="07A43592">
            <w:pPr>
              <w:widowControl/>
              <w:spacing w:line="420" w:lineRule="exact"/>
              <w:jc w:val="center"/>
              <w:rPr>
                <w:rFonts w:hint="eastAsia" w:ascii="宋体" w:hAnsi="宋体" w:eastAsia="仿宋_GB2312"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服务内容</w:t>
            </w:r>
          </w:p>
        </w:tc>
        <w:tc>
          <w:tcPr>
            <w:tcW w:w="446" w:type="pct"/>
            <w:noWrap w:val="0"/>
            <w:vAlign w:val="center"/>
          </w:tcPr>
          <w:p w14:paraId="51A8821D">
            <w:pPr>
              <w:widowControl/>
              <w:spacing w:line="420" w:lineRule="exact"/>
              <w:jc w:val="center"/>
              <w:rPr>
                <w:rFonts w:hint="default" w:ascii="宋体" w:hAnsi="宋体" w:eastAsia="仿宋_GB2312"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次/年</w:t>
            </w:r>
          </w:p>
        </w:tc>
        <w:tc>
          <w:tcPr>
            <w:tcW w:w="868" w:type="pct"/>
            <w:noWrap w:val="0"/>
            <w:vAlign w:val="center"/>
          </w:tcPr>
          <w:p w14:paraId="141362C0">
            <w:pPr>
              <w:widowControl/>
              <w:spacing w:line="420" w:lineRule="exact"/>
              <w:jc w:val="center"/>
              <w:rPr>
                <w:rFonts w:ascii="宋体" w:hAnsi="宋体" w:cs="宋体"/>
                <w:b/>
                <w:bCs/>
                <w:color w:val="auto"/>
                <w:kern w:val="0"/>
                <w:sz w:val="21"/>
                <w:szCs w:val="18"/>
                <w:highlight w:val="none"/>
              </w:rPr>
            </w:pPr>
            <w:r>
              <w:rPr>
                <w:rFonts w:hint="eastAsia" w:ascii="宋体" w:hAnsi="宋体" w:cs="宋体"/>
                <w:b/>
                <w:bCs/>
                <w:color w:val="auto"/>
                <w:kern w:val="0"/>
                <w:sz w:val="21"/>
                <w:szCs w:val="18"/>
                <w:highlight w:val="none"/>
                <w:lang w:val="en-US" w:eastAsia="zh-CN"/>
              </w:rPr>
              <w:t>单</w:t>
            </w:r>
            <w:r>
              <w:rPr>
                <w:rFonts w:hint="eastAsia" w:ascii="宋体" w:hAnsi="宋体" w:cs="宋体"/>
                <w:b/>
                <w:bCs/>
                <w:color w:val="auto"/>
                <w:kern w:val="0"/>
                <w:sz w:val="21"/>
                <w:szCs w:val="18"/>
                <w:highlight w:val="none"/>
              </w:rPr>
              <w:t>价</w:t>
            </w:r>
            <w:r>
              <w:rPr>
                <w:rFonts w:hint="eastAsia" w:ascii="宋体" w:hAnsi="宋体" w:cs="宋体"/>
                <w:b/>
                <w:bCs/>
                <w:color w:val="auto"/>
                <w:kern w:val="0"/>
                <w:sz w:val="21"/>
                <w:szCs w:val="18"/>
                <w:highlight w:val="none"/>
              </w:rPr>
              <w:br w:type="textWrapping"/>
            </w:r>
            <w:r>
              <w:rPr>
                <w:rFonts w:hint="eastAsia" w:ascii="宋体" w:hAnsi="宋体" w:cs="宋体"/>
                <w:b/>
                <w:bCs/>
                <w:color w:val="auto"/>
                <w:kern w:val="0"/>
                <w:sz w:val="21"/>
                <w:szCs w:val="18"/>
                <w:highlight w:val="none"/>
              </w:rPr>
              <w:t>（</w:t>
            </w:r>
            <w:r>
              <w:rPr>
                <w:rFonts w:hint="eastAsia" w:ascii="宋体" w:hAnsi="宋体" w:cs="宋体"/>
                <w:b/>
                <w:bCs/>
                <w:color w:val="auto"/>
                <w:kern w:val="0"/>
                <w:sz w:val="21"/>
                <w:szCs w:val="18"/>
                <w:highlight w:val="none"/>
                <w:lang w:val="en-US" w:eastAsia="zh-CN"/>
              </w:rPr>
              <w:t>单次</w:t>
            </w:r>
            <w:r>
              <w:rPr>
                <w:rFonts w:hint="eastAsia" w:ascii="宋体" w:hAnsi="宋体" w:cs="宋体"/>
                <w:b/>
                <w:bCs/>
                <w:color w:val="auto"/>
                <w:kern w:val="0"/>
                <w:sz w:val="21"/>
                <w:szCs w:val="18"/>
                <w:highlight w:val="none"/>
              </w:rPr>
              <w:t>维保费用）</w:t>
            </w:r>
          </w:p>
        </w:tc>
        <w:tc>
          <w:tcPr>
            <w:tcW w:w="867" w:type="pct"/>
            <w:gridSpan w:val="2"/>
            <w:noWrap w:val="0"/>
            <w:vAlign w:val="center"/>
          </w:tcPr>
          <w:p w14:paraId="7B13AF9E">
            <w:pPr>
              <w:widowControl/>
              <w:spacing w:line="420" w:lineRule="exact"/>
              <w:jc w:val="center"/>
              <w:rPr>
                <w:rFonts w:hint="eastAsia" w:ascii="宋体" w:hAnsi="宋体"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小计</w:t>
            </w:r>
          </w:p>
          <w:p w14:paraId="3497619D">
            <w:pPr>
              <w:widowControl/>
              <w:spacing w:line="420" w:lineRule="exact"/>
              <w:jc w:val="center"/>
              <w:rPr>
                <w:rFonts w:hint="default" w:ascii="宋体" w:hAnsi="宋体" w:cs="宋体"/>
                <w:b/>
                <w:bCs/>
                <w:color w:val="auto"/>
                <w:kern w:val="0"/>
                <w:sz w:val="21"/>
                <w:szCs w:val="18"/>
                <w:highlight w:val="none"/>
                <w:lang w:val="en-US" w:eastAsia="zh-CN"/>
              </w:rPr>
            </w:pPr>
            <w:r>
              <w:rPr>
                <w:rFonts w:hint="eastAsia" w:ascii="宋体" w:hAnsi="宋体" w:cs="宋体"/>
                <w:b/>
                <w:bCs/>
                <w:color w:val="auto"/>
                <w:kern w:val="0"/>
                <w:sz w:val="21"/>
                <w:szCs w:val="18"/>
                <w:highlight w:val="none"/>
                <w:lang w:val="en-US" w:eastAsia="zh-CN"/>
              </w:rPr>
              <w:t>（一年维保费用）</w:t>
            </w:r>
          </w:p>
        </w:tc>
        <w:tc>
          <w:tcPr>
            <w:tcW w:w="869" w:type="pct"/>
            <w:noWrap w:val="0"/>
            <w:vAlign w:val="center"/>
          </w:tcPr>
          <w:p w14:paraId="2D66DBA7">
            <w:pPr>
              <w:widowControl/>
              <w:spacing w:line="420" w:lineRule="exact"/>
              <w:jc w:val="center"/>
              <w:rPr>
                <w:rFonts w:hint="eastAsia" w:ascii="宋体" w:hAnsi="宋体" w:cs="宋体"/>
                <w:b/>
                <w:bCs/>
                <w:color w:val="auto"/>
                <w:kern w:val="0"/>
                <w:sz w:val="21"/>
                <w:szCs w:val="18"/>
                <w:highlight w:val="none"/>
              </w:rPr>
            </w:pPr>
            <w:r>
              <w:rPr>
                <w:rFonts w:hint="eastAsia" w:ascii="宋体" w:hAnsi="宋体" w:cs="宋体"/>
                <w:b/>
                <w:bCs/>
                <w:color w:val="auto"/>
                <w:kern w:val="0"/>
                <w:sz w:val="21"/>
                <w:szCs w:val="18"/>
                <w:highlight w:val="none"/>
                <w:lang w:val="en-US" w:eastAsia="zh-CN"/>
              </w:rPr>
              <w:t>总计</w:t>
            </w:r>
            <w:r>
              <w:rPr>
                <w:rFonts w:hint="eastAsia" w:ascii="宋体" w:hAnsi="宋体" w:cs="宋体"/>
                <w:b/>
                <w:bCs/>
                <w:color w:val="auto"/>
                <w:kern w:val="0"/>
                <w:sz w:val="21"/>
                <w:szCs w:val="18"/>
                <w:highlight w:val="none"/>
                <w:lang w:val="en-US" w:eastAsia="zh-CN"/>
              </w:rPr>
              <w:br w:type="textWrapping"/>
            </w:r>
            <w:r>
              <w:rPr>
                <w:rFonts w:hint="eastAsia" w:ascii="宋体" w:hAnsi="宋体" w:cs="宋体"/>
                <w:b/>
                <w:bCs/>
                <w:color w:val="auto"/>
                <w:kern w:val="0"/>
                <w:sz w:val="21"/>
                <w:szCs w:val="18"/>
                <w:highlight w:val="none"/>
              </w:rPr>
              <w:t>（</w:t>
            </w:r>
            <w:r>
              <w:rPr>
                <w:rFonts w:hint="eastAsia" w:ascii="宋体" w:hAnsi="宋体" w:cs="宋体"/>
                <w:b/>
                <w:bCs/>
                <w:color w:val="auto"/>
                <w:kern w:val="0"/>
                <w:sz w:val="21"/>
                <w:szCs w:val="18"/>
                <w:highlight w:val="none"/>
                <w:lang w:val="en-US" w:eastAsia="zh-CN"/>
              </w:rPr>
              <w:t>三</w:t>
            </w:r>
            <w:r>
              <w:rPr>
                <w:rFonts w:hint="eastAsia" w:ascii="宋体" w:hAnsi="宋体" w:cs="宋体"/>
                <w:b/>
                <w:bCs/>
                <w:color w:val="auto"/>
                <w:kern w:val="0"/>
                <w:sz w:val="21"/>
                <w:szCs w:val="18"/>
                <w:highlight w:val="none"/>
              </w:rPr>
              <w:t>年维保费用）</w:t>
            </w:r>
          </w:p>
        </w:tc>
      </w:tr>
      <w:tr w14:paraId="5C3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0" w:type="pct"/>
            <w:noWrap w:val="0"/>
            <w:vAlign w:val="center"/>
          </w:tcPr>
          <w:p w14:paraId="777AE326">
            <w:pPr>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1</w:t>
            </w:r>
          </w:p>
        </w:tc>
        <w:tc>
          <w:tcPr>
            <w:tcW w:w="1627" w:type="pct"/>
            <w:noWrap w:val="0"/>
            <w:vAlign w:val="center"/>
          </w:tcPr>
          <w:p w14:paraId="48F7126A">
            <w:pPr>
              <w:widowControl/>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日常定期检查维修、巡检服务</w:t>
            </w:r>
          </w:p>
        </w:tc>
        <w:tc>
          <w:tcPr>
            <w:tcW w:w="446" w:type="pct"/>
            <w:noWrap w:val="0"/>
            <w:vAlign w:val="center"/>
          </w:tcPr>
          <w:p w14:paraId="59924BB9">
            <w:pPr>
              <w:widowControl/>
              <w:spacing w:line="420" w:lineRule="exact"/>
              <w:jc w:val="center"/>
              <w:rPr>
                <w:rFonts w:ascii="宋体" w:hAnsi="宋体" w:cs="宋体"/>
                <w:color w:val="auto"/>
                <w:kern w:val="0"/>
                <w:sz w:val="28"/>
                <w:szCs w:val="22"/>
                <w:highlight w:val="none"/>
              </w:rPr>
            </w:pPr>
          </w:p>
        </w:tc>
        <w:tc>
          <w:tcPr>
            <w:tcW w:w="868" w:type="pct"/>
            <w:noWrap w:val="0"/>
            <w:vAlign w:val="center"/>
          </w:tcPr>
          <w:p w14:paraId="4EF7D616">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3D9D70B4">
            <w:pPr>
              <w:widowControl/>
              <w:spacing w:line="420" w:lineRule="exact"/>
              <w:jc w:val="center"/>
              <w:rPr>
                <w:rFonts w:ascii="宋体" w:hAnsi="宋体" w:cs="宋体"/>
                <w:color w:val="auto"/>
                <w:kern w:val="0"/>
                <w:sz w:val="28"/>
                <w:szCs w:val="22"/>
                <w:highlight w:val="none"/>
              </w:rPr>
            </w:pPr>
          </w:p>
        </w:tc>
        <w:tc>
          <w:tcPr>
            <w:tcW w:w="869" w:type="pct"/>
            <w:noWrap w:val="0"/>
            <w:vAlign w:val="center"/>
          </w:tcPr>
          <w:p w14:paraId="72E35A9F">
            <w:pPr>
              <w:widowControl/>
              <w:spacing w:line="420" w:lineRule="exact"/>
              <w:jc w:val="center"/>
              <w:rPr>
                <w:rFonts w:ascii="宋体" w:hAnsi="宋体" w:cs="宋体"/>
                <w:color w:val="auto"/>
                <w:kern w:val="0"/>
                <w:sz w:val="28"/>
                <w:szCs w:val="22"/>
                <w:highlight w:val="none"/>
              </w:rPr>
            </w:pPr>
          </w:p>
        </w:tc>
      </w:tr>
      <w:tr w14:paraId="13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20" w:type="pct"/>
            <w:noWrap w:val="0"/>
            <w:vAlign w:val="center"/>
          </w:tcPr>
          <w:p w14:paraId="4F3B5BAF">
            <w:pPr>
              <w:spacing w:line="42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2</w:t>
            </w:r>
          </w:p>
        </w:tc>
        <w:tc>
          <w:tcPr>
            <w:tcW w:w="1627" w:type="pct"/>
            <w:noWrap w:val="0"/>
            <w:vAlign w:val="center"/>
          </w:tcPr>
          <w:p w14:paraId="431646B9">
            <w:pPr>
              <w:widowControl/>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年度预防性试验</w:t>
            </w:r>
          </w:p>
        </w:tc>
        <w:tc>
          <w:tcPr>
            <w:tcW w:w="446" w:type="pct"/>
            <w:noWrap w:val="0"/>
            <w:vAlign w:val="center"/>
          </w:tcPr>
          <w:p w14:paraId="2C6F8FAE">
            <w:pPr>
              <w:widowControl/>
              <w:spacing w:line="420" w:lineRule="exact"/>
              <w:jc w:val="center"/>
              <w:rPr>
                <w:rFonts w:ascii="宋体" w:hAnsi="宋体" w:cs="宋体"/>
                <w:color w:val="auto"/>
                <w:kern w:val="0"/>
                <w:sz w:val="28"/>
                <w:szCs w:val="22"/>
                <w:highlight w:val="none"/>
              </w:rPr>
            </w:pPr>
          </w:p>
        </w:tc>
        <w:tc>
          <w:tcPr>
            <w:tcW w:w="868" w:type="pct"/>
            <w:noWrap w:val="0"/>
            <w:vAlign w:val="center"/>
          </w:tcPr>
          <w:p w14:paraId="33DFDCE3">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2C6CF462">
            <w:pPr>
              <w:widowControl/>
              <w:spacing w:line="420" w:lineRule="exact"/>
              <w:jc w:val="center"/>
              <w:rPr>
                <w:rFonts w:ascii="宋体" w:hAnsi="宋体" w:cs="宋体"/>
                <w:color w:val="auto"/>
                <w:kern w:val="0"/>
                <w:sz w:val="28"/>
                <w:szCs w:val="22"/>
                <w:highlight w:val="none"/>
              </w:rPr>
            </w:pPr>
          </w:p>
        </w:tc>
        <w:tc>
          <w:tcPr>
            <w:tcW w:w="869" w:type="pct"/>
            <w:noWrap w:val="0"/>
            <w:vAlign w:val="center"/>
          </w:tcPr>
          <w:p w14:paraId="25CE9318">
            <w:pPr>
              <w:widowControl/>
              <w:spacing w:line="420" w:lineRule="exact"/>
              <w:jc w:val="center"/>
              <w:rPr>
                <w:rFonts w:ascii="宋体" w:hAnsi="宋体" w:cs="宋体"/>
                <w:color w:val="auto"/>
                <w:kern w:val="0"/>
                <w:sz w:val="28"/>
                <w:szCs w:val="22"/>
                <w:highlight w:val="none"/>
              </w:rPr>
            </w:pPr>
          </w:p>
        </w:tc>
      </w:tr>
      <w:tr w14:paraId="1E7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104D279D">
            <w:pPr>
              <w:spacing w:line="42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3</w:t>
            </w:r>
          </w:p>
        </w:tc>
        <w:tc>
          <w:tcPr>
            <w:tcW w:w="1627" w:type="pct"/>
            <w:noWrap w:val="0"/>
            <w:vAlign w:val="center"/>
          </w:tcPr>
          <w:p w14:paraId="04C4A126">
            <w:pPr>
              <w:widowControl/>
              <w:spacing w:line="420" w:lineRule="exact"/>
              <w:jc w:val="center"/>
              <w:rPr>
                <w:rFonts w:hint="default"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停电检修</w:t>
            </w:r>
          </w:p>
        </w:tc>
        <w:tc>
          <w:tcPr>
            <w:tcW w:w="446" w:type="pct"/>
            <w:noWrap w:val="0"/>
            <w:vAlign w:val="center"/>
          </w:tcPr>
          <w:p w14:paraId="26D138AC">
            <w:pPr>
              <w:widowControl/>
              <w:spacing w:line="420" w:lineRule="exact"/>
              <w:jc w:val="center"/>
              <w:rPr>
                <w:rFonts w:ascii="宋体" w:hAnsi="宋体" w:cs="宋体"/>
                <w:color w:val="auto"/>
                <w:kern w:val="0"/>
                <w:sz w:val="28"/>
                <w:szCs w:val="22"/>
                <w:highlight w:val="none"/>
              </w:rPr>
            </w:pPr>
          </w:p>
        </w:tc>
        <w:tc>
          <w:tcPr>
            <w:tcW w:w="868" w:type="pct"/>
            <w:noWrap w:val="0"/>
            <w:vAlign w:val="center"/>
          </w:tcPr>
          <w:p w14:paraId="253D0CC0">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580A12FA">
            <w:pPr>
              <w:widowControl/>
              <w:spacing w:line="420" w:lineRule="exact"/>
              <w:jc w:val="center"/>
              <w:rPr>
                <w:rFonts w:ascii="宋体" w:hAnsi="宋体" w:cs="宋体"/>
                <w:color w:val="auto"/>
                <w:kern w:val="0"/>
                <w:sz w:val="28"/>
                <w:szCs w:val="22"/>
                <w:highlight w:val="none"/>
              </w:rPr>
            </w:pPr>
          </w:p>
        </w:tc>
        <w:tc>
          <w:tcPr>
            <w:tcW w:w="869" w:type="pct"/>
            <w:noWrap w:val="0"/>
            <w:vAlign w:val="center"/>
          </w:tcPr>
          <w:p w14:paraId="645BA26E">
            <w:pPr>
              <w:widowControl/>
              <w:spacing w:line="420" w:lineRule="exact"/>
              <w:jc w:val="center"/>
              <w:rPr>
                <w:rFonts w:ascii="宋体" w:hAnsi="宋体" w:cs="宋体"/>
                <w:color w:val="auto"/>
                <w:kern w:val="0"/>
                <w:sz w:val="28"/>
                <w:szCs w:val="22"/>
                <w:highlight w:val="none"/>
              </w:rPr>
            </w:pPr>
          </w:p>
        </w:tc>
      </w:tr>
      <w:tr w14:paraId="46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7D575817">
            <w:pPr>
              <w:widowControl/>
              <w:spacing w:line="420" w:lineRule="exact"/>
              <w:jc w:val="center"/>
              <w:rPr>
                <w:rFonts w:hint="eastAsia"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rPr>
              <w:t>4</w:t>
            </w:r>
          </w:p>
        </w:tc>
        <w:tc>
          <w:tcPr>
            <w:tcW w:w="1627" w:type="pct"/>
            <w:noWrap w:val="0"/>
            <w:vAlign w:val="center"/>
          </w:tcPr>
          <w:p w14:paraId="47124FB2">
            <w:pPr>
              <w:widowControl/>
              <w:spacing w:line="420" w:lineRule="exact"/>
              <w:jc w:val="center"/>
              <w:rPr>
                <w:rFonts w:hint="default"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2根高压进线电缆预防性试验</w:t>
            </w:r>
          </w:p>
        </w:tc>
        <w:tc>
          <w:tcPr>
            <w:tcW w:w="446" w:type="pct"/>
            <w:noWrap w:val="0"/>
            <w:vAlign w:val="center"/>
          </w:tcPr>
          <w:p w14:paraId="3A85296C">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8" w:type="pct"/>
            <w:noWrap w:val="0"/>
            <w:vAlign w:val="center"/>
          </w:tcPr>
          <w:p w14:paraId="00B18840">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12C4EC5E">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9" w:type="pct"/>
            <w:noWrap w:val="0"/>
            <w:vAlign w:val="center"/>
          </w:tcPr>
          <w:p w14:paraId="294DE86E">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r>
      <w:tr w14:paraId="4726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53C2FFF0">
            <w:pPr>
              <w:widowControl/>
              <w:spacing w:line="420" w:lineRule="exact"/>
              <w:jc w:val="center"/>
              <w:rPr>
                <w:rFonts w:hint="eastAsia" w:ascii="宋体" w:hAnsi="宋体" w:eastAsia="仿宋_GB2312"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5</w:t>
            </w:r>
          </w:p>
        </w:tc>
        <w:tc>
          <w:tcPr>
            <w:tcW w:w="1627" w:type="pct"/>
            <w:noWrap w:val="0"/>
            <w:vAlign w:val="center"/>
          </w:tcPr>
          <w:p w14:paraId="4AAEAFBD">
            <w:pPr>
              <w:widowControl/>
              <w:spacing w:line="420" w:lineRule="exact"/>
              <w:jc w:val="center"/>
              <w:rPr>
                <w:rFonts w:hint="default" w:ascii="宋体" w:hAnsi="宋体"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2根高压进线电缆</w:t>
            </w:r>
            <w:r>
              <w:rPr>
                <w:rFonts w:hint="eastAsia" w:ascii="宋体" w:hAnsi="宋体" w:cs="宋体"/>
                <w:color w:val="auto"/>
                <w:kern w:val="0"/>
                <w:sz w:val="22"/>
                <w:szCs w:val="20"/>
                <w:highlight w:val="none"/>
              </w:rPr>
              <w:t>检查维修、巡检服务</w:t>
            </w:r>
          </w:p>
        </w:tc>
        <w:tc>
          <w:tcPr>
            <w:tcW w:w="446" w:type="pct"/>
            <w:noWrap w:val="0"/>
            <w:vAlign w:val="center"/>
          </w:tcPr>
          <w:p w14:paraId="478980AC">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8" w:type="pct"/>
            <w:noWrap w:val="0"/>
            <w:vAlign w:val="center"/>
          </w:tcPr>
          <w:p w14:paraId="27B7C5F8">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165A7549">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9" w:type="pct"/>
            <w:noWrap w:val="0"/>
            <w:vAlign w:val="center"/>
          </w:tcPr>
          <w:p w14:paraId="0BFECEBD">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r>
      <w:tr w14:paraId="28B0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0" w:type="pct"/>
            <w:noWrap w:val="0"/>
            <w:vAlign w:val="center"/>
          </w:tcPr>
          <w:p w14:paraId="733618BC">
            <w:pPr>
              <w:widowControl/>
              <w:spacing w:line="420" w:lineRule="exact"/>
              <w:jc w:val="center"/>
              <w:rPr>
                <w:rFonts w:hint="default" w:ascii="宋体" w:hAnsi="宋体" w:cs="宋体"/>
                <w:color w:val="auto"/>
                <w:kern w:val="0"/>
                <w:sz w:val="22"/>
                <w:szCs w:val="20"/>
                <w:highlight w:val="none"/>
                <w:lang w:val="en-US" w:eastAsia="zh-CN"/>
              </w:rPr>
            </w:pPr>
            <w:r>
              <w:rPr>
                <w:rFonts w:hint="eastAsia" w:ascii="宋体" w:hAnsi="宋体" w:cs="宋体"/>
                <w:color w:val="auto"/>
                <w:kern w:val="0"/>
                <w:sz w:val="22"/>
                <w:szCs w:val="20"/>
                <w:highlight w:val="none"/>
                <w:lang w:val="en-US" w:eastAsia="zh-CN"/>
              </w:rPr>
              <w:t>6</w:t>
            </w:r>
          </w:p>
        </w:tc>
        <w:tc>
          <w:tcPr>
            <w:tcW w:w="1627" w:type="pct"/>
            <w:noWrap w:val="0"/>
            <w:vAlign w:val="center"/>
          </w:tcPr>
          <w:p w14:paraId="1C66ABF5">
            <w:pPr>
              <w:widowControl/>
              <w:spacing w:line="420" w:lineRule="exact"/>
              <w:jc w:val="center"/>
              <w:rPr>
                <w:rFonts w:hint="default" w:ascii="宋体" w:hAnsi="宋体" w:cs="宋体"/>
                <w:color w:val="auto"/>
                <w:kern w:val="0"/>
                <w:sz w:val="22"/>
                <w:szCs w:val="20"/>
                <w:highlight w:val="none"/>
                <w:lang w:val="en-US" w:eastAsia="zh-CN"/>
              </w:rPr>
            </w:pPr>
            <w:r>
              <w:rPr>
                <w:rFonts w:hint="eastAsia" w:ascii="宋体" w:hAnsi="宋体" w:cs="宋体"/>
                <w:color w:val="auto"/>
                <w:sz w:val="22"/>
                <w:szCs w:val="20"/>
                <w:highlight w:val="none"/>
                <w:lang w:eastAsia="zh-CN"/>
              </w:rPr>
              <w:t>自备发电机及配套设施</w:t>
            </w:r>
            <w:r>
              <w:rPr>
                <w:rFonts w:hint="eastAsia" w:ascii="宋体" w:hAnsi="宋体" w:cs="宋体"/>
                <w:color w:val="auto"/>
                <w:sz w:val="22"/>
                <w:szCs w:val="20"/>
                <w:highlight w:val="none"/>
                <w:lang w:val="en-US" w:eastAsia="zh-CN"/>
              </w:rPr>
              <w:t>维保服务</w:t>
            </w:r>
          </w:p>
        </w:tc>
        <w:tc>
          <w:tcPr>
            <w:tcW w:w="446" w:type="pct"/>
            <w:noWrap w:val="0"/>
            <w:vAlign w:val="center"/>
          </w:tcPr>
          <w:p w14:paraId="34E851A3">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8" w:type="pct"/>
            <w:noWrap w:val="0"/>
            <w:vAlign w:val="center"/>
          </w:tcPr>
          <w:p w14:paraId="1D3C2BCA">
            <w:pPr>
              <w:widowControl/>
              <w:spacing w:line="420" w:lineRule="exact"/>
              <w:jc w:val="center"/>
              <w:rPr>
                <w:rFonts w:ascii="宋体" w:hAnsi="宋体" w:cs="宋体"/>
                <w:color w:val="auto"/>
                <w:kern w:val="0"/>
                <w:sz w:val="28"/>
                <w:szCs w:val="22"/>
                <w:highlight w:val="none"/>
              </w:rPr>
            </w:pPr>
          </w:p>
        </w:tc>
        <w:tc>
          <w:tcPr>
            <w:tcW w:w="867" w:type="pct"/>
            <w:gridSpan w:val="2"/>
            <w:noWrap w:val="0"/>
            <w:vAlign w:val="center"/>
          </w:tcPr>
          <w:p w14:paraId="260F41C1">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c>
          <w:tcPr>
            <w:tcW w:w="869" w:type="pct"/>
            <w:noWrap w:val="0"/>
            <w:vAlign w:val="center"/>
          </w:tcPr>
          <w:p w14:paraId="7DB6A532">
            <w:pPr>
              <w:widowControl/>
              <w:spacing w:line="420" w:lineRule="exact"/>
              <w:jc w:val="center"/>
              <w:rPr>
                <w:rFonts w:hint="eastAsia" w:ascii="宋体" w:hAnsi="宋体" w:eastAsia="仿宋_GB2312" w:cs="宋体"/>
                <w:color w:val="auto"/>
                <w:kern w:val="0"/>
                <w:sz w:val="28"/>
                <w:szCs w:val="22"/>
                <w:highlight w:val="none"/>
                <w:lang w:val="en-US" w:eastAsia="zh-CN"/>
              </w:rPr>
            </w:pPr>
            <w:r>
              <w:rPr>
                <w:rFonts w:hint="eastAsia" w:ascii="宋体" w:hAnsi="宋体" w:cs="宋体"/>
                <w:color w:val="auto"/>
                <w:kern w:val="0"/>
                <w:sz w:val="28"/>
                <w:szCs w:val="22"/>
                <w:highlight w:val="none"/>
                <w:lang w:val="en-US" w:eastAsia="zh-CN"/>
              </w:rPr>
              <w:t>/</w:t>
            </w:r>
          </w:p>
        </w:tc>
      </w:tr>
      <w:tr w14:paraId="6ACB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4" w:type="pct"/>
            <w:gridSpan w:val="3"/>
            <w:vMerge w:val="restart"/>
            <w:noWrap w:val="0"/>
            <w:vAlign w:val="center"/>
          </w:tcPr>
          <w:p w14:paraId="47C29403">
            <w:pPr>
              <w:widowControl/>
              <w:spacing w:line="420" w:lineRule="exact"/>
              <w:jc w:val="center"/>
              <w:rPr>
                <w:rFonts w:hint="default" w:ascii="宋体" w:hAnsi="宋体" w:eastAsia="仿宋_GB2312" w:cs="宋体"/>
                <w:b/>
                <w:color w:val="auto"/>
                <w:kern w:val="0"/>
                <w:sz w:val="21"/>
                <w:szCs w:val="21"/>
                <w:highlight w:val="none"/>
                <w:lang w:val="en-US" w:eastAsia="zh-CN"/>
              </w:rPr>
            </w:pPr>
            <w:r>
              <w:rPr>
                <w:rFonts w:hint="eastAsia" w:ascii="宋体" w:hAnsi="宋体" w:cs="Times New Roman"/>
                <w:b/>
                <w:color w:val="auto"/>
                <w:sz w:val="21"/>
                <w:szCs w:val="21"/>
                <w:highlight w:val="none"/>
              </w:rPr>
              <w:t>配电</w:t>
            </w:r>
            <w:r>
              <w:rPr>
                <w:rFonts w:ascii="宋体" w:hAnsi="宋体" w:cs="Times New Roman"/>
                <w:b/>
                <w:color w:val="auto"/>
                <w:sz w:val="21"/>
                <w:szCs w:val="21"/>
                <w:highlight w:val="none"/>
              </w:rPr>
              <w:t>设备维护保养</w:t>
            </w:r>
            <w:r>
              <w:rPr>
                <w:rFonts w:hint="eastAsia" w:ascii="宋体" w:hAnsi="宋体" w:cs="Times New Roman"/>
                <w:b/>
                <w:color w:val="auto"/>
                <w:sz w:val="21"/>
                <w:szCs w:val="21"/>
                <w:highlight w:val="none"/>
              </w:rPr>
              <w:t>总计</w:t>
            </w:r>
            <w:r>
              <w:rPr>
                <w:rFonts w:ascii="宋体" w:hAnsi="宋体" w:cs="Times New Roman"/>
                <w:b/>
                <w:color w:val="auto"/>
                <w:sz w:val="21"/>
                <w:szCs w:val="21"/>
                <w:highlight w:val="none"/>
              </w:rPr>
              <w:t>报价</w:t>
            </w:r>
            <w:r>
              <w:rPr>
                <w:rFonts w:hint="eastAsia" w:ascii="宋体" w:hAnsi="宋体" w:cs="Times New Roman"/>
                <w:b/>
                <w:color w:val="auto"/>
                <w:sz w:val="21"/>
                <w:szCs w:val="21"/>
                <w:highlight w:val="none"/>
                <w:lang w:val="en-US" w:eastAsia="zh-CN"/>
              </w:rPr>
              <w:t>(不含高压进线电缆和自备发电机及配套设施维保和预防性试验服务）</w:t>
            </w:r>
          </w:p>
        </w:tc>
        <w:tc>
          <w:tcPr>
            <w:tcW w:w="1302" w:type="pct"/>
            <w:gridSpan w:val="2"/>
            <w:noWrap w:val="0"/>
            <w:vAlign w:val="center"/>
          </w:tcPr>
          <w:p w14:paraId="00291C7F">
            <w:pPr>
              <w:widowControl/>
              <w:spacing w:line="420" w:lineRule="exact"/>
              <w:jc w:val="center"/>
              <w:rPr>
                <w:rFonts w:hint="eastAsia" w:ascii="宋体" w:hAnsi="宋体" w:cs="Times New Roman"/>
                <w:b/>
                <w:color w:val="auto"/>
                <w:sz w:val="21"/>
                <w:szCs w:val="21"/>
                <w:highlight w:val="none"/>
                <w:lang w:val="en-US" w:eastAsia="zh-CN"/>
              </w:rPr>
            </w:pPr>
            <w:r>
              <w:rPr>
                <w:rFonts w:hint="eastAsia" w:ascii="宋体" w:hAnsi="宋体" w:cs="Times New Roman"/>
                <w:b/>
                <w:color w:val="auto"/>
                <w:sz w:val="21"/>
                <w:szCs w:val="21"/>
                <w:highlight w:val="none"/>
                <w:lang w:val="en-US" w:eastAsia="zh-CN"/>
              </w:rPr>
              <w:t>一年维保费</w:t>
            </w:r>
          </w:p>
        </w:tc>
        <w:tc>
          <w:tcPr>
            <w:tcW w:w="1303" w:type="pct"/>
            <w:gridSpan w:val="2"/>
            <w:noWrap w:val="0"/>
            <w:vAlign w:val="center"/>
          </w:tcPr>
          <w:p w14:paraId="697C8D9F">
            <w:pPr>
              <w:widowControl/>
              <w:spacing w:line="420" w:lineRule="exact"/>
              <w:jc w:val="center"/>
              <w:rPr>
                <w:rFonts w:hint="default" w:ascii="宋体" w:hAnsi="宋体" w:eastAsia="仿宋_GB2312" w:cs="Times New Roman"/>
                <w:b/>
                <w:color w:val="auto"/>
                <w:sz w:val="21"/>
                <w:szCs w:val="21"/>
                <w:highlight w:val="none"/>
                <w:lang w:val="en-US" w:eastAsia="zh-CN"/>
              </w:rPr>
            </w:pPr>
            <w:r>
              <w:rPr>
                <w:rFonts w:hint="eastAsia" w:ascii="宋体" w:hAnsi="宋体" w:cs="Times New Roman"/>
                <w:b/>
                <w:color w:val="auto"/>
                <w:sz w:val="21"/>
                <w:szCs w:val="21"/>
                <w:highlight w:val="none"/>
                <w:lang w:val="en-US" w:eastAsia="zh-CN"/>
              </w:rPr>
              <w:t>三年维保费</w:t>
            </w:r>
          </w:p>
        </w:tc>
      </w:tr>
      <w:tr w14:paraId="099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4" w:type="pct"/>
            <w:gridSpan w:val="3"/>
            <w:vMerge w:val="continue"/>
            <w:noWrap w:val="0"/>
            <w:vAlign w:val="center"/>
          </w:tcPr>
          <w:p w14:paraId="617F78C1">
            <w:pPr>
              <w:widowControl/>
              <w:spacing w:line="420" w:lineRule="exact"/>
              <w:jc w:val="center"/>
              <w:rPr>
                <w:rFonts w:hint="eastAsia" w:ascii="宋体" w:hAnsi="宋体" w:cs="Times New Roman"/>
                <w:b/>
                <w:color w:val="auto"/>
                <w:sz w:val="32"/>
                <w:szCs w:val="32"/>
                <w:highlight w:val="none"/>
              </w:rPr>
            </w:pPr>
          </w:p>
        </w:tc>
        <w:tc>
          <w:tcPr>
            <w:tcW w:w="1302" w:type="pct"/>
            <w:gridSpan w:val="2"/>
            <w:noWrap w:val="0"/>
            <w:vAlign w:val="center"/>
          </w:tcPr>
          <w:p w14:paraId="168848C8">
            <w:pPr>
              <w:widowControl/>
              <w:spacing w:line="420" w:lineRule="exact"/>
              <w:jc w:val="center"/>
              <w:rPr>
                <w:rFonts w:hint="eastAsia" w:ascii="宋体" w:hAnsi="宋体" w:cs="Times New Roman"/>
                <w:b/>
                <w:color w:val="auto"/>
                <w:sz w:val="32"/>
                <w:szCs w:val="32"/>
                <w:highlight w:val="none"/>
              </w:rPr>
            </w:pPr>
          </w:p>
        </w:tc>
        <w:tc>
          <w:tcPr>
            <w:tcW w:w="1303" w:type="pct"/>
            <w:gridSpan w:val="2"/>
            <w:noWrap w:val="0"/>
            <w:vAlign w:val="center"/>
          </w:tcPr>
          <w:p w14:paraId="72C12A21">
            <w:pPr>
              <w:widowControl/>
              <w:spacing w:line="420" w:lineRule="exact"/>
              <w:jc w:val="center"/>
              <w:rPr>
                <w:rFonts w:hint="eastAsia" w:ascii="宋体" w:hAnsi="宋体" w:cs="Times New Roman"/>
                <w:b/>
                <w:color w:val="auto"/>
                <w:sz w:val="32"/>
                <w:szCs w:val="32"/>
                <w:highlight w:val="none"/>
              </w:rPr>
            </w:pPr>
          </w:p>
        </w:tc>
      </w:tr>
    </w:tbl>
    <w:p w14:paraId="7F41E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4.维修材料及配件相关要求</w:t>
      </w:r>
    </w:p>
    <w:p w14:paraId="39FA20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维保期内，服务方负责维护维修本项目所有设备。若服务方检查后无法维修的，可按合同规定向院方申请更换相应零配件，属于院方采购的零配件，院方有权委托第三方公司实施鉴定并维修，若第三方公司予以修复，相关维修费从维保款中扣除，维修费由服务方承担。</w:t>
      </w:r>
    </w:p>
    <w:p w14:paraId="329508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（二）若服务方以维修不了为由，无故不修，院方有权委托其他专业公司维修，维修费从维保款中扣除。</w:t>
      </w:r>
    </w:p>
    <w:p w14:paraId="0003DA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（三）高低压系统所使用的小型零配件，包含但不限于电压表、指示灯、互感器等配件，服务方不能因数量多少另外计费。</w:t>
      </w:r>
    </w:p>
    <w:p w14:paraId="464602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（四）单件单价500元以下（含500元）的维修材料、零配件由服务方提供并负责更换（配件费、材料费、人工费等均由服务方承担）。</w:t>
      </w:r>
    </w:p>
    <w:p w14:paraId="372C7D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五）单件单价在500元以上的高低压电气设备关键元器件、维修材料及配件，院方可根据服务商提供的《高低压电气设备关键元器件及易损配件清单》内的报价向服务方进行采购，服务方需响应清单内“高低压电气设备关键元器件”的采购周期，配件采购费用由院方承担，费用包含设备材料费、运输费、安装、调试、人工等费用。</w:t>
      </w:r>
    </w:p>
    <w:p w14:paraId="5D3DD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（六）更换的材料配件质保期为壹年，从双方验收完毕签字之日起算。</w:t>
      </w:r>
    </w:p>
    <w:p w14:paraId="4886FB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（七）服务方需在现场提供一定数量的常用易损配品配件，院方提供库房，服务方不得以现场无零配件为理由拖延维修维护工作，影响临床工作。</w:t>
      </w:r>
    </w:p>
    <w:p w14:paraId="164C4A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（八）服务方保障每月定期巡检供配电设备运行情况，发现故障、异常需及时组织维修处理，维修使用的配件原则上必须与原配件同品牌。若因特殊原因，例如停产退市，经院方确认，可使用同档次可替代产品。</w:t>
      </w:r>
    </w:p>
    <w:p w14:paraId="6E96C0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firstLineChars="200"/>
        <w:textAlignment w:val="baseline"/>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七</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需提交材料</w:t>
      </w:r>
    </w:p>
    <w:p w14:paraId="6D12C7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（一）营业执照、特</w:t>
      </w:r>
      <w:bookmarkStart w:id="0" w:name="_GoBack"/>
      <w:bookmarkEnd w:id="0"/>
      <w:r>
        <w:rPr>
          <w:rFonts w:hint="eastAsia" w:ascii="方正仿宋_GBK" w:hAnsi="方正仿宋_GBK" w:eastAsia="方正仿宋_GBK" w:cs="方正仿宋_GBK"/>
          <w:color w:val="auto"/>
          <w:spacing w:val="-5"/>
          <w:sz w:val="32"/>
          <w:szCs w:val="32"/>
          <w:highlight w:val="none"/>
          <w:lang w:val="en-US" w:eastAsia="zh-CN"/>
        </w:rPr>
        <w:t>别资格条件。</w:t>
      </w:r>
    </w:p>
    <w:p w14:paraId="58E1F7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（二）附件1报价单，不得改变格式</w:t>
      </w:r>
    </w:p>
    <w:p w14:paraId="3E7099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（三）附件2《高低压电气设备关键元器件及易损配件清单》，其中高低压电气设备关键元器件需特别标注抢险采购周期和日常采购周期。</w:t>
      </w:r>
    </w:p>
    <w:sectPr>
      <w:footerReference r:id="rId5" w:type="default"/>
      <w:pgSz w:w="11906" w:h="16839"/>
      <w:pgMar w:top="1431" w:right="1391" w:bottom="1157" w:left="1391"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0393">
    <w:pPr>
      <w:spacing w:line="169" w:lineRule="auto"/>
      <w:ind w:left="4522"/>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8E286B"/>
    <w:rsid w:val="06287F27"/>
    <w:rsid w:val="08471E20"/>
    <w:rsid w:val="0FD10E6E"/>
    <w:rsid w:val="142B71D2"/>
    <w:rsid w:val="15FF3D3A"/>
    <w:rsid w:val="1F937BF8"/>
    <w:rsid w:val="212C7EEC"/>
    <w:rsid w:val="22A5121D"/>
    <w:rsid w:val="270218DC"/>
    <w:rsid w:val="28B16284"/>
    <w:rsid w:val="29B5753F"/>
    <w:rsid w:val="2CE55F57"/>
    <w:rsid w:val="34335EE7"/>
    <w:rsid w:val="34473024"/>
    <w:rsid w:val="3C3E15E3"/>
    <w:rsid w:val="41DF0D42"/>
    <w:rsid w:val="438143A1"/>
    <w:rsid w:val="484C2A51"/>
    <w:rsid w:val="4E29393E"/>
    <w:rsid w:val="512A65ED"/>
    <w:rsid w:val="54572D6A"/>
    <w:rsid w:val="599365AD"/>
    <w:rsid w:val="5A715862"/>
    <w:rsid w:val="5AA906A6"/>
    <w:rsid w:val="61907C3C"/>
    <w:rsid w:val="624F3EEF"/>
    <w:rsid w:val="6E53278F"/>
    <w:rsid w:val="75853F6C"/>
    <w:rsid w:val="7CEE4F06"/>
    <w:rsid w:val="7E9515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cs="Times New Roman"/>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3113</Words>
  <Characters>3607</Characters>
  <TotalTime>100</TotalTime>
  <ScaleCrop>false</ScaleCrop>
  <LinksUpToDate>false</LinksUpToDate>
  <CharactersWithSpaces>3623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2025-07-03T16:20:00Z</dcterms:created>
  <dc:creator>PC</dc:creator>
  <cp:lastModifiedBy>程曦</cp:lastModifiedBy>
  <dcterms:modified xsi:type="dcterms:W3CDTF">2025-08-18T03:49:26Z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2025-07-17T13:10:57Z</vt:filetime>
  </property>
  <property fmtid="{D5CDD505-2E9C-101B-9397-08002B2CF9AE}" pid="4" name="KSOTemplateDocerSaveRecord">
    <vt:lpwstr>eyJoZGlkIjoiYWQ0YTlmZmFkNTBhYmI1YzYzMzYyNTIzZWFmMGU2ZTAiLCJ1c2VySWQiOiIxNTQ5Mjk3OTI5In0=</vt:lpwstr>
  </property>
  <property fmtid="{D5CDD505-2E9C-101B-9397-08002B2CF9AE}" pid="5" name="KSOProductBuildVer">
    <vt:lpwstr>2052-12.1.0.19302</vt:lpwstr>
  </property>
  <property fmtid="{D5CDD505-2E9C-101B-9397-08002B2CF9AE}" pid="6" name="ICV">
    <vt:lpwstr>9C8BA1AB08A44198A212F3392718E46F_13</vt:lpwstr>
  </property>
</Properties>
</file>