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17413"/>
      <w:bookmarkStart w:id="1" w:name="_Toc17010"/>
      <w:bookmarkStart w:id="2" w:name="_Toc14024"/>
      <w:bookmarkStart w:id="3" w:name="_Toc906"/>
      <w:bookmarkStart w:id="4" w:name="_Toc2771"/>
      <w:bookmarkStart w:id="5" w:name="_Toc15809"/>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25543"/>
      <w:bookmarkStart w:id="7" w:name="_Toc20035"/>
      <w:bookmarkStart w:id="8" w:name="_Toc19887"/>
      <w:bookmarkStart w:id="9" w:name="_Toc1831"/>
      <w:bookmarkStart w:id="10" w:name="_Toc26360"/>
      <w:bookmarkStart w:id="11" w:name="_Toc20549"/>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48A5AF27">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r>
        <w:rPr>
          <w:rFonts w:hint="eastAsia" w:ascii="方正小标宋_GBK" w:hAnsi="方正小标宋_GBK" w:eastAsia="方正小标宋_GBK" w:cs="方正小标宋_GBK"/>
          <w:b/>
          <w:color w:val="000000" w:themeColor="text1"/>
          <w:sz w:val="52"/>
          <w:szCs w:val="52"/>
          <w:lang w:val="en-US" w:eastAsia="zh-CN"/>
          <w14:textFill>
            <w14:solidFill>
              <w14:schemeClr w14:val="tx1"/>
            </w14:solidFill>
          </w14:textFill>
        </w:rPr>
        <w:t>第三次</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CYKF-HL2026005</w:t>
      </w:r>
    </w:p>
    <w:p w14:paraId="668A02D7">
      <w:pPr>
        <w:spacing w:line="360" w:lineRule="auto"/>
        <w:ind w:left="2880" w:leftChars="450" w:hanging="1800" w:hangingChars="5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甲型/乙型流感病毒和呼吸道合胞病毒抗原测定试剂盒和相关耗材</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jc w:val="cente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重庆医科大学附属康复医院</w:t>
      </w:r>
    </w:p>
    <w:p w14:paraId="5E5BDB9A">
      <w:pPr>
        <w:pStyle w:val="5"/>
        <w:ind w:left="0" w:leftChars="0" w:firstLine="0" w:firstLineChars="0"/>
        <w:jc w:val="cente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2026年9月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3"/>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widowControl/>
              <w:spacing w:line="240" w:lineRule="auto"/>
              <w:ind w:left="0" w:leftChars="0" w:firstLine="0" w:firstLineChars="0"/>
              <w:jc w:val="center"/>
              <w:rPr>
                <w:rFonts w:hint="default" w:ascii="方正小标宋_GBK" w:hAnsi="方正小标宋_GBK" w:eastAsia="方正小标宋_GBK" w:cs="方正小标宋_GBK"/>
                <w:color w:val="000000" w:themeColor="text1"/>
                <w:sz w:val="21"/>
                <w:szCs w:val="21"/>
                <w:lang w:val="en-US" w:eastAsia="zh-CN"/>
                <w14:textFill>
                  <w14:solidFill>
                    <w14:schemeClr w14:val="tx1"/>
                  </w14:solidFill>
                </w14:textFill>
              </w:rPr>
            </w:pPr>
            <w:bookmarkStart w:id="33" w:name="_Hlk344477914"/>
            <w:r>
              <w:rPr>
                <w:rFonts w:hint="eastAsia" w:ascii="方正仿宋_GBK" w:hAnsi="方正仿宋_GBK" w:eastAsia="方正仿宋_GBK" w:cs="方正仿宋_GBK"/>
                <w:b w:val="0"/>
                <w:bCs w:val="0"/>
                <w:color w:val="000000" w:themeColor="text1"/>
                <w:sz w:val="21"/>
                <w:szCs w:val="21"/>
                <w:lang w:val="en-US" w:eastAsia="zh-CN"/>
                <w14:textFill>
                  <w14:solidFill>
                    <w14:schemeClr w14:val="tx1"/>
                  </w14:solidFill>
                </w14:textFill>
              </w:rPr>
              <w:t>CYKF-HL2026005</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widowControl/>
              <w:spacing w:line="240" w:lineRule="auto"/>
              <w:ind w:left="0" w:leftChars="0" w:firstLine="0" w:firstLineChars="0"/>
              <w:jc w:val="center"/>
              <w:rPr>
                <w:rFonts w:hint="eastAsia" w:ascii="方正仿宋_GBK" w:hAnsi="方正仿宋_GBK" w:eastAsia="方正仿宋_GBK" w:cs="方正仿宋_GBK"/>
                <w:b w:val="0"/>
                <w:bCs w:val="0"/>
                <w:color w:val="000000" w:themeColor="text1"/>
                <w:kern w:val="0"/>
                <w:sz w:val="21"/>
                <w:szCs w:val="21"/>
                <w:highlight w:val="green"/>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甲型/乙型流感病毒和呼吸道合胞病毒抗原测定试剂盒和相关耗材</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820231A">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bookmarkStart w:id="35" w:name="OLE_LINK14"/>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1.投标人需提供《营业执照》和</w:t>
      </w:r>
      <w:r>
        <w:rPr>
          <w:rFonts w:hint="eastAsia" w:ascii="方正仿宋_GBK" w:hAnsi="方正仿宋_GBK" w:eastAsia="方正仿宋_GBK" w:cs="方正仿宋_GBK"/>
          <w:bCs/>
          <w:strike w:val="0"/>
          <w:dstrike w:val="0"/>
          <w:color w:val="000000" w:themeColor="text1"/>
          <w:sz w:val="24"/>
          <w:szCs w:val="24"/>
          <w:lang w:val="en-US" w:eastAsia="zh-CN"/>
          <w14:textFill>
            <w14:solidFill>
              <w14:schemeClr w14:val="tx1"/>
            </w14:solidFill>
          </w14:textFill>
        </w:rPr>
        <w:t>《医疗器械经营许可证》或</w:t>
      </w: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《医疗器械经营备案凭证》复印件。</w:t>
      </w:r>
    </w:p>
    <w:p w14:paraId="66F3474C">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2.投标产品，需由拥有《医疗器械生产许可证》的正规生产厂家生产，并提供《医疗器械生产许可证》复印件。</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3.所投产品为进口产品，投标人须提供产品制造厂家或制造商中国大陆境内代表机构出具的授权函（提供授权函原件或复印件）即经销资格证明材料等。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5.投标人必须是重庆药交所注册会员，并提供《法人单位数字证书申请表》《重庆药品交易所入市协议》作为佐证材料。所投产品属于3C认证范围的必须提供3C认证证书。</w:t>
      </w:r>
    </w:p>
    <w:p w14:paraId="2CAE4BD5">
      <w:pPr>
        <w:adjustRightInd w:val="0"/>
        <w:snapToGrid w:val="0"/>
        <w:spacing w:line="240" w:lineRule="auto"/>
        <w:ind w:firstLine="482" w:firstLineChars="200"/>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上述证明材料须在投标响应文件中准备复印件并加盖公司鲜章。</w:t>
      </w:r>
    </w:p>
    <w:bookmarkEnd w:id="35"/>
    <w:p w14:paraId="62257DF7">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bookmarkStart w:id="36" w:name="_Toc32600"/>
      <w:bookmarkStart w:id="37" w:name="_Toc2373"/>
      <w:bookmarkStart w:id="38" w:name="_Toc24566"/>
      <w:bookmarkStart w:id="39" w:name="_Toc32737"/>
      <w:bookmarkStart w:id="40" w:name="_Toc30172"/>
      <w:bookmarkStart w:id="41" w:name="_Toc6958"/>
      <w:bookmarkStart w:id="42" w:name="_Toc1536"/>
      <w:bookmarkStart w:id="43" w:name="_Toc16359"/>
      <w:bookmarkStart w:id="44" w:name="_Toc17416"/>
      <w:bookmarkStart w:id="45" w:name="_Toc5568"/>
    </w:p>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bookmarkStart w:id="46" w:name="OLE_LINK8"/>
      <w:r>
        <w:rPr>
          <w:rFonts w:hint="eastAsia" w:ascii="方正仿宋_GBK" w:hAnsi="方正仿宋_GBK" w:eastAsia="方正仿宋_GBK" w:cs="方正仿宋_GBK"/>
          <w:b/>
          <w:bCs/>
          <w:strike w:val="0"/>
          <w:dstrike w:val="0"/>
          <w:color w:val="000000" w:themeColor="text1"/>
          <w:szCs w:val="24"/>
          <w:highlight w:val="none"/>
          <w:u w:val="none"/>
          <w:lang w:val="en-US"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bookmarkEnd w:id="46"/>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7"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7"/>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8"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bookmarkStart w:id="207" w:name="_GoBack"/>
      <w:bookmarkEnd w:id="207"/>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大公馆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9"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9"/>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存入EXECL格式的“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50"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50"/>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1" w:name="OLE_LINK76"/>
    </w:p>
    <w:bookmarkEnd w:id="51"/>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2"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2"/>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5AAB547D">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p>
    <w:p w14:paraId="5AAACF9B">
      <w:pPr>
        <w:pStyle w:val="5"/>
        <w:numPr>
          <w:ilvl w:val="0"/>
          <w:numId w:val="0"/>
        </w:numPr>
        <w:spacing w:line="240" w:lineRule="auto"/>
        <w:jc w:val="both"/>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7B59B18A">
      <w:pPr>
        <w:pStyle w:val="5"/>
        <w:numPr>
          <w:ilvl w:val="0"/>
          <w:numId w:val="0"/>
        </w:numPr>
        <w:jc w:val="both"/>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34FB1CA8">
      <w:pPr>
        <w:rPr>
          <w:rFonts w:hint="eastAsia"/>
          <w:color w:val="000000" w:themeColor="text1"/>
          <w:lang w:val="en-US" w:eastAsia="zh-CN"/>
          <w14:textFill>
            <w14:solidFill>
              <w14:schemeClr w14:val="tx1"/>
            </w14:solidFill>
          </w14:textFill>
        </w:rPr>
      </w:pPr>
    </w:p>
    <w:p w14:paraId="00E01796">
      <w:pPr>
        <w:rPr>
          <w:rFonts w:hint="eastAsia"/>
          <w:color w:val="000000" w:themeColor="text1"/>
          <w:lang w:val="en-US" w:eastAsia="zh-CN"/>
          <w14:textFill>
            <w14:solidFill>
              <w14:schemeClr w14:val="tx1"/>
            </w14:solidFill>
          </w14:textFill>
        </w:rPr>
      </w:pPr>
    </w:p>
    <w:p w14:paraId="5199FD97">
      <w:pPr>
        <w:pStyle w:val="5"/>
        <w:numPr>
          <w:ilvl w:val="0"/>
          <w:numId w:val="0"/>
        </w:numPr>
        <w:spacing w:line="240" w:lineRule="auto"/>
        <w:ind w:firstLine="723" w:firstLineChars="200"/>
        <w:jc w:val="cente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3" w:name="_Toc4913"/>
      <w:bookmarkStart w:id="54" w:name="_Toc11703"/>
      <w:bookmarkStart w:id="55" w:name="_Toc29985"/>
      <w:bookmarkStart w:id="56" w:name="_Toc7027"/>
      <w:bookmarkStart w:id="57" w:name="_Toc75793505"/>
      <w:bookmarkStart w:id="58" w:name="_Toc19238"/>
      <w:bookmarkStart w:id="59" w:name="_Toc106030381"/>
      <w:bookmarkStart w:id="60" w:name="_Toc20979"/>
      <w:bookmarkStart w:id="61" w:name="_Toc4519"/>
      <w:bookmarkStart w:id="62" w:name="_Toc4531"/>
      <w:bookmarkStart w:id="63" w:name="_Toc22910"/>
      <w:bookmarkStart w:id="64" w:name="_Toc8370"/>
      <w:bookmarkStart w:id="65" w:name="_Toc9261"/>
      <w:bookmarkStart w:id="66" w:name="_Toc23504"/>
      <w:bookmarkStart w:id="67" w:name="_Toc23656"/>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tbl>
      <w:tblPr>
        <w:tblStyle w:val="12"/>
        <w:tblW w:w="92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671"/>
        <w:gridCol w:w="1690"/>
        <w:gridCol w:w="4605"/>
        <w:gridCol w:w="1140"/>
        <w:gridCol w:w="1107"/>
      </w:tblGrid>
      <w:tr w14:paraId="614444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5"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28DD39B8">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序号</w:t>
            </w:r>
          </w:p>
        </w:tc>
        <w:tc>
          <w:tcPr>
            <w:tcW w:w="1690" w:type="dxa"/>
            <w:tcBorders>
              <w:top w:val="outset" w:color="auto" w:sz="6" w:space="0"/>
              <w:left w:val="outset" w:color="auto" w:sz="6" w:space="0"/>
              <w:bottom w:val="single" w:color="auto" w:sz="4" w:space="0"/>
              <w:right w:val="outset" w:color="auto" w:sz="6" w:space="0"/>
            </w:tcBorders>
            <w:noWrap w:val="0"/>
            <w:vAlign w:val="center"/>
          </w:tcPr>
          <w:p w14:paraId="6B39207D">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产品</w:t>
            </w:r>
            <w:r>
              <w:rPr>
                <w:rFonts w:hint="eastAsia" w:ascii="仿宋" w:hAnsi="仿宋" w:eastAsia="仿宋" w:cs="仿宋"/>
                <w:b/>
                <w:bCs/>
                <w:color w:val="000000" w:themeColor="text1"/>
                <w:sz w:val="24"/>
                <w:szCs w:val="24"/>
                <w14:textFill>
                  <w14:solidFill>
                    <w14:schemeClr w14:val="tx1"/>
                  </w14:solidFill>
                </w14:textFill>
              </w:rPr>
              <w:t>名称</w:t>
            </w:r>
          </w:p>
        </w:tc>
        <w:tc>
          <w:tcPr>
            <w:tcW w:w="4605" w:type="dxa"/>
            <w:tcBorders>
              <w:top w:val="outset" w:color="auto" w:sz="6" w:space="0"/>
              <w:left w:val="outset" w:color="auto" w:sz="6" w:space="0"/>
              <w:bottom w:val="outset" w:color="auto" w:sz="6" w:space="0"/>
              <w:right w:val="outset" w:color="auto" w:sz="6" w:space="0"/>
            </w:tcBorders>
            <w:noWrap w:val="0"/>
            <w:vAlign w:val="center"/>
          </w:tcPr>
          <w:p w14:paraId="5C35E347">
            <w:pPr>
              <w:adjustRightInd w:val="0"/>
              <w:snapToGrid w:val="0"/>
              <w:spacing w:line="240" w:lineRule="auto"/>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i w:val="0"/>
                <w:iCs w:val="0"/>
                <w:color w:val="000000" w:themeColor="text1"/>
                <w:kern w:val="0"/>
                <w:sz w:val="24"/>
                <w:szCs w:val="24"/>
                <w:u w:val="none"/>
                <w:lang w:val="en-US" w:eastAsia="zh-CN" w:bidi="ar"/>
                <w14:textFill>
                  <w14:solidFill>
                    <w14:schemeClr w14:val="tx1"/>
                  </w14:solidFill>
                </w14:textFill>
              </w:rPr>
              <w:t>技术参数或规格型号</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37305B85">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单位</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21C95A4B">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备注</w:t>
            </w:r>
          </w:p>
        </w:tc>
      </w:tr>
      <w:tr w14:paraId="4F7905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671" w:type="dxa"/>
            <w:tcBorders>
              <w:top w:val="outset" w:color="auto" w:sz="6" w:space="0"/>
              <w:left w:val="outset" w:color="auto" w:sz="6" w:space="0"/>
              <w:bottom w:val="outset" w:color="auto" w:sz="6" w:space="0"/>
              <w:right w:val="single" w:color="auto" w:sz="4" w:space="0"/>
            </w:tcBorders>
            <w:noWrap w:val="0"/>
            <w:vAlign w:val="center"/>
          </w:tcPr>
          <w:p w14:paraId="131134DD">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1</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053C6355">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甲型/乙型流感病毒抗原测定试剂盒</w:t>
            </w:r>
          </w:p>
        </w:tc>
        <w:tc>
          <w:tcPr>
            <w:tcW w:w="4605" w:type="dxa"/>
            <w:tcBorders>
              <w:top w:val="outset" w:color="auto" w:sz="6" w:space="0"/>
              <w:left w:val="single" w:color="auto" w:sz="4" w:space="0"/>
              <w:bottom w:val="outset" w:color="auto" w:sz="6" w:space="0"/>
              <w:right w:val="outset" w:color="auto" w:sz="6" w:space="0"/>
            </w:tcBorders>
            <w:noWrap w:val="0"/>
            <w:vAlign w:val="center"/>
          </w:tcPr>
          <w:p w14:paraId="6CD8967F">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1</w:t>
            </w:r>
            <w:r>
              <w:rPr>
                <w:rFonts w:hint="eastAsia" w:ascii="仿宋" w:hAnsi="仿宋" w:eastAsia="仿宋" w:cs="仿宋"/>
                <w:b w:val="0"/>
                <w:bCs w:val="0"/>
                <w:spacing w:val="-13"/>
              </w:rPr>
              <w:t>.方法学：胶体金法</w:t>
            </w:r>
          </w:p>
          <w:p w14:paraId="08483E14">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2</w:t>
            </w:r>
            <w:r>
              <w:rPr>
                <w:rFonts w:hint="eastAsia" w:ascii="仿宋" w:hAnsi="仿宋" w:eastAsia="仿宋" w:cs="仿宋"/>
                <w:b w:val="0"/>
                <w:bCs w:val="0"/>
                <w:spacing w:val="-13"/>
              </w:rPr>
              <w:t>.标本类型：口咽拭子</w:t>
            </w:r>
          </w:p>
          <w:p w14:paraId="18CD1264">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3</w:t>
            </w:r>
            <w:r>
              <w:rPr>
                <w:rFonts w:hint="eastAsia" w:ascii="仿宋" w:hAnsi="仿宋" w:eastAsia="仿宋" w:cs="仿宋"/>
                <w:b w:val="0"/>
                <w:bCs w:val="0"/>
                <w:spacing w:val="-13"/>
              </w:rPr>
              <w:t>.测试项目：一卡同时检测甲型流感病毒抗原和乙型流感病毒抗原</w:t>
            </w:r>
          </w:p>
          <w:p w14:paraId="1E6ED5FD">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4</w:t>
            </w:r>
            <w:r>
              <w:rPr>
                <w:rFonts w:hint="eastAsia" w:ascii="仿宋" w:hAnsi="仿宋" w:eastAsia="仿宋" w:cs="仿宋"/>
                <w:b w:val="0"/>
                <w:bCs w:val="0"/>
                <w:spacing w:val="-13"/>
              </w:rPr>
              <w:t>.产品有效期：</w:t>
            </w:r>
            <w:r>
              <w:rPr>
                <w:rFonts w:hint="eastAsia" w:ascii="宋体" w:hAnsi="宋体" w:eastAsia="宋体" w:cs="宋体"/>
                <w:b w:val="0"/>
                <w:bCs w:val="0"/>
                <w:spacing w:val="-13"/>
              </w:rPr>
              <w:t>≧</w:t>
            </w:r>
            <w:r>
              <w:rPr>
                <w:rFonts w:hint="eastAsia" w:ascii="仿宋" w:hAnsi="仿宋" w:eastAsia="仿宋" w:cs="仿宋"/>
                <w:b w:val="0"/>
                <w:bCs w:val="0"/>
                <w:spacing w:val="-13"/>
              </w:rPr>
              <w:t>24个月</w:t>
            </w:r>
          </w:p>
          <w:p w14:paraId="5D6ABA4A">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5</w:t>
            </w:r>
            <w:r>
              <w:rPr>
                <w:rFonts w:hint="eastAsia" w:ascii="仿宋" w:hAnsi="仿宋" w:eastAsia="仿宋" w:cs="仿宋"/>
                <w:b w:val="0"/>
                <w:bCs w:val="0"/>
                <w:spacing w:val="-13"/>
              </w:rPr>
              <w:t>.最低检出限不高于：</w:t>
            </w:r>
          </w:p>
          <w:p w14:paraId="076889F8">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2009H1N1</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7.5*10³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38FE1FA1">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季节性H1N1</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6.0*10²</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37295D81">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甲型H3N2</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4.5*10³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6A4DFC76">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甲型H5N1</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7.0*10³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156DBEE5">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甲型H5N6</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5.0*10³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70BED090">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甲型H7N9</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5.0*10³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187F554F">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B/Victoria</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1.0*10²</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1AB82CF2">
            <w:pPr>
              <w:spacing w:line="240" w:lineRule="auto"/>
              <w:ind w:left="0" w:leftChars="0" w:firstLine="0" w:firstLineChars="0"/>
              <w:jc w:val="left"/>
              <w:rPr>
                <w:rFonts w:hint="eastAsia" w:ascii="仿宋" w:hAnsi="仿宋" w:eastAsia="仿宋" w:cs="仿宋"/>
                <w:b w:val="0"/>
                <w:bCs w:val="0"/>
                <w:spacing w:val="-13"/>
                <w:lang w:eastAsia="zh-CN"/>
              </w:rPr>
            </w:pPr>
            <w:r>
              <w:rPr>
                <w:rFonts w:hint="eastAsia" w:ascii="仿宋" w:hAnsi="仿宋" w:eastAsia="仿宋" w:cs="仿宋"/>
                <w:b w:val="0"/>
                <w:bCs w:val="0"/>
                <w:spacing w:val="-13"/>
              </w:rPr>
              <w:t>B/Yamagata</w:t>
            </w:r>
            <w:r>
              <w:rPr>
                <w:rFonts w:hint="eastAsia" w:ascii="仿宋" w:hAnsi="仿宋" w:eastAsia="仿宋" w:cs="仿宋"/>
                <w:b w:val="0"/>
                <w:bCs w:val="0"/>
                <w:spacing w:val="-13"/>
                <w:lang w:eastAsia="zh-CN"/>
              </w:rPr>
              <w:t>：</w:t>
            </w:r>
            <w:r>
              <w:rPr>
                <w:rFonts w:hint="eastAsia" w:ascii="仿宋" w:hAnsi="仿宋" w:eastAsia="仿宋" w:cs="仿宋"/>
                <w:b w:val="0"/>
                <w:bCs w:val="0"/>
                <w:spacing w:val="-13"/>
              </w:rPr>
              <w:t>2.0*10³</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612D27B4">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6</w:t>
            </w:r>
            <w:r>
              <w:rPr>
                <w:rFonts w:hint="eastAsia" w:ascii="仿宋" w:hAnsi="仿宋" w:eastAsia="仿宋" w:cs="仿宋"/>
                <w:b w:val="0"/>
                <w:bCs w:val="0"/>
                <w:spacing w:val="-13"/>
              </w:rPr>
              <w:t>.钩状效应：针对甲型流感病毒未出现钩状效应的最高浓度值</w:t>
            </w:r>
            <w:r>
              <w:rPr>
                <w:rFonts w:hint="eastAsia" w:ascii="宋体" w:hAnsi="宋体" w:eastAsia="宋体" w:cs="宋体"/>
                <w:b w:val="0"/>
                <w:bCs w:val="0"/>
                <w:spacing w:val="-13"/>
              </w:rPr>
              <w:t>≧</w:t>
            </w:r>
            <w:r>
              <w:rPr>
                <w:rFonts w:hint="eastAsia" w:ascii="仿宋" w:hAnsi="仿宋" w:eastAsia="仿宋" w:cs="仿宋"/>
                <w:b w:val="0"/>
                <w:bCs w:val="0"/>
                <w:spacing w:val="-13"/>
              </w:rPr>
              <w:t>6.0*10⁸</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57F9D8AA">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val="0"/>
                <w:bCs w:val="0"/>
                <w:spacing w:val="-13"/>
              </w:rPr>
              <w:t>针对乙型流感病毒未出现钩状效应的最高浓</w:t>
            </w:r>
            <w:r>
              <w:rPr>
                <w:rFonts w:hint="eastAsia" w:ascii="仿宋" w:hAnsi="仿宋" w:eastAsia="仿宋" w:cs="仿宋"/>
                <w:b w:val="0"/>
                <w:bCs w:val="0"/>
                <w:spacing w:val="-13"/>
                <w:lang w:val="en-US" w:eastAsia="zh-CN"/>
              </w:rPr>
              <w:t>度</w:t>
            </w:r>
            <w:r>
              <w:rPr>
                <w:rFonts w:hint="eastAsia" w:ascii="仿宋" w:hAnsi="仿宋" w:eastAsia="仿宋" w:cs="仿宋"/>
                <w:b w:val="0"/>
                <w:bCs w:val="0"/>
                <w:spacing w:val="-13"/>
              </w:rPr>
              <w:t>值</w:t>
            </w:r>
            <w:r>
              <w:rPr>
                <w:rFonts w:hint="eastAsia" w:ascii="宋体" w:hAnsi="宋体" w:eastAsia="宋体" w:cs="宋体"/>
                <w:b w:val="0"/>
                <w:bCs w:val="0"/>
                <w:spacing w:val="-13"/>
              </w:rPr>
              <w:t>≧</w:t>
            </w:r>
            <w:r>
              <w:rPr>
                <w:rFonts w:hint="eastAsia" w:ascii="仿宋" w:hAnsi="仿宋" w:eastAsia="仿宋" w:cs="仿宋"/>
                <w:b w:val="0"/>
                <w:bCs w:val="0"/>
                <w:spacing w:val="-13"/>
              </w:rPr>
              <w:t>6.0*10⁶</w:t>
            </w:r>
            <w:r>
              <w:rPr>
                <w:rFonts w:hint="eastAsia" w:ascii="仿宋" w:hAnsi="仿宋" w:eastAsia="仿宋" w:cs="仿宋"/>
                <w:b w:val="0"/>
                <w:bCs w:val="0"/>
                <w:spacing w:val="-13"/>
                <w:lang w:val="en-US" w:eastAsia="zh-CN"/>
              </w:rPr>
              <w:t xml:space="preserve"> </w:t>
            </w:r>
            <w:r>
              <w:rPr>
                <w:rFonts w:hint="eastAsia" w:ascii="仿宋" w:hAnsi="仿宋" w:eastAsia="仿宋" w:cs="仿宋"/>
                <w:b w:val="0"/>
                <w:bCs w:val="0"/>
                <w:spacing w:val="-13"/>
              </w:rPr>
              <w:t>TCID50/mL</w:t>
            </w:r>
          </w:p>
          <w:p w14:paraId="56FEB452">
            <w:pPr>
              <w:spacing w:line="240" w:lineRule="auto"/>
              <w:ind w:left="0" w:leftChars="0" w:firstLine="0" w:firstLineChars="0"/>
              <w:jc w:val="left"/>
              <w:rPr>
                <w:rFonts w:hint="eastAsia" w:ascii="方正仿宋_GBK" w:hAnsi="方正仿宋_GBK" w:eastAsia="仿宋" w:cs="方正仿宋_GBK"/>
                <w:b w:val="0"/>
                <w:bCs/>
                <w:color w:val="000000" w:themeColor="text1"/>
                <w:sz w:val="24"/>
                <w:szCs w:val="24"/>
                <w:lang w:val="en-US" w:eastAsia="zh-CN"/>
                <w14:textFill>
                  <w14:solidFill>
                    <w14:schemeClr w14:val="tx1"/>
                  </w14:solidFill>
                </w14:textFill>
              </w:rPr>
            </w:pPr>
            <w:r>
              <w:rPr>
                <w:rFonts w:hint="eastAsia" w:ascii="仿宋" w:hAnsi="仿宋" w:eastAsia="仿宋" w:cs="仿宋"/>
                <w:b/>
                <w:bCs/>
                <w:spacing w:val="-13"/>
              </w:rPr>
              <w:t>7</w:t>
            </w:r>
            <w:r>
              <w:rPr>
                <w:rFonts w:hint="eastAsia" w:ascii="仿宋" w:hAnsi="仿宋" w:eastAsia="仿宋" w:cs="仿宋"/>
                <w:b w:val="0"/>
                <w:bCs w:val="0"/>
                <w:spacing w:val="-13"/>
              </w:rPr>
              <w:t>.可选全自动胶体金免疫分析仪，实现自动化检测</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4DB5CAB3">
            <w:pPr>
              <w:spacing w:line="240" w:lineRule="auto"/>
              <w:ind w:left="0" w:leftChars="0" w:firstLine="0" w:firstLineChars="0"/>
              <w:jc w:val="cente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人份</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0033356F">
            <w:pPr>
              <w:spacing w:line="240" w:lineRule="auto"/>
              <w:ind w:left="0" w:leftChars="0" w:firstLine="0" w:firstLineChars="0"/>
              <w:jc w:val="center"/>
              <w:rPr>
                <w:rFonts w:hint="default"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耗材：拭子</w:t>
            </w:r>
          </w:p>
        </w:tc>
      </w:tr>
      <w:tr w14:paraId="0B772A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37" w:hRule="atLeast"/>
          <w:jc w:val="center"/>
        </w:trPr>
        <w:tc>
          <w:tcPr>
            <w:tcW w:w="671" w:type="dxa"/>
            <w:tcBorders>
              <w:top w:val="outset" w:color="auto" w:sz="6" w:space="0"/>
              <w:left w:val="outset" w:color="auto" w:sz="6" w:space="0"/>
              <w:bottom w:val="single" w:color="auto" w:sz="4" w:space="0"/>
              <w:right w:val="single" w:color="auto" w:sz="4" w:space="0"/>
            </w:tcBorders>
            <w:noWrap w:val="0"/>
            <w:vAlign w:val="center"/>
          </w:tcPr>
          <w:p w14:paraId="00594891">
            <w:pPr>
              <w:spacing w:line="240" w:lineRule="auto"/>
              <w:ind w:left="0" w:leftChars="0" w:firstLine="0" w:firstLineChars="0"/>
              <w:jc w:val="center"/>
              <w:rPr>
                <w:rFonts w:hint="default"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2</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309BAF06">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呼吸道合胞病毒抗原检测试剂盒</w:t>
            </w:r>
          </w:p>
        </w:tc>
        <w:tc>
          <w:tcPr>
            <w:tcW w:w="4605" w:type="dxa"/>
            <w:tcBorders>
              <w:top w:val="outset" w:color="auto" w:sz="6" w:space="0"/>
              <w:left w:val="single" w:color="auto" w:sz="4" w:space="0"/>
              <w:bottom w:val="single" w:color="auto" w:sz="4" w:space="0"/>
              <w:right w:val="outset" w:color="auto" w:sz="6" w:space="0"/>
            </w:tcBorders>
            <w:noWrap w:val="0"/>
            <w:vAlign w:val="center"/>
          </w:tcPr>
          <w:p w14:paraId="5BD562A4">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1</w:t>
            </w:r>
            <w:r>
              <w:rPr>
                <w:rFonts w:hint="eastAsia" w:ascii="仿宋" w:hAnsi="仿宋" w:eastAsia="仿宋" w:cs="仿宋"/>
                <w:b w:val="0"/>
                <w:bCs w:val="0"/>
                <w:spacing w:val="-13"/>
              </w:rPr>
              <w:t>.方法学：胶体金法</w:t>
            </w:r>
          </w:p>
          <w:p w14:paraId="54F128F1">
            <w:pPr>
              <w:spacing w:line="240" w:lineRule="auto"/>
              <w:ind w:left="0" w:leftChars="0" w:firstLine="0" w:firstLineChars="0"/>
              <w:jc w:val="left"/>
              <w:rPr>
                <w:rFonts w:hint="eastAsia" w:ascii="仿宋" w:hAnsi="仿宋" w:eastAsia="仿宋" w:cs="仿宋"/>
                <w:b w:val="0"/>
                <w:bCs w:val="0"/>
                <w:spacing w:val="-13"/>
              </w:rPr>
            </w:pPr>
            <w:r>
              <w:rPr>
                <w:rFonts w:hint="eastAsia" w:ascii="仿宋" w:hAnsi="仿宋" w:eastAsia="仿宋" w:cs="仿宋"/>
                <w:b/>
                <w:bCs/>
                <w:spacing w:val="-13"/>
              </w:rPr>
              <w:t>2</w:t>
            </w:r>
            <w:r>
              <w:rPr>
                <w:rFonts w:hint="eastAsia" w:ascii="仿宋" w:hAnsi="仿宋" w:eastAsia="仿宋" w:cs="仿宋"/>
                <w:b w:val="0"/>
                <w:bCs w:val="0"/>
                <w:spacing w:val="-13"/>
              </w:rPr>
              <w:t>.标本类型：</w:t>
            </w:r>
            <w:r>
              <w:rPr>
                <w:rFonts w:hint="eastAsia" w:ascii="仿宋" w:hAnsi="仿宋" w:eastAsia="仿宋" w:cs="仿宋"/>
                <w:b w:val="0"/>
                <w:bCs w:val="0"/>
                <w:spacing w:val="-13"/>
                <w:lang w:val="en-US" w:eastAsia="zh-CN"/>
              </w:rPr>
              <w:t>鼻</w:t>
            </w:r>
            <w:r>
              <w:rPr>
                <w:rFonts w:hint="eastAsia" w:ascii="仿宋" w:hAnsi="仿宋" w:eastAsia="仿宋" w:cs="仿宋"/>
                <w:b w:val="0"/>
                <w:bCs w:val="0"/>
                <w:spacing w:val="-13"/>
              </w:rPr>
              <w:t>咽拭子</w:t>
            </w:r>
          </w:p>
          <w:p w14:paraId="5860FF45">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bCs/>
                <w:spacing w:val="-13"/>
                <w:lang w:val="en-US" w:eastAsia="zh-CN"/>
              </w:rPr>
              <w:t>3.</w:t>
            </w:r>
            <w:r>
              <w:rPr>
                <w:rFonts w:hint="default" w:ascii="仿宋" w:hAnsi="仿宋" w:eastAsia="仿宋" w:cs="仿宋"/>
                <w:b w:val="0"/>
                <w:bCs w:val="0"/>
                <w:spacing w:val="-13"/>
                <w:lang w:val="en-US" w:eastAsia="zh-CN"/>
              </w:rPr>
              <w:t>产品有效期:≥24个月</w:t>
            </w:r>
          </w:p>
          <w:p w14:paraId="4F15C094">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bCs/>
                <w:spacing w:val="-13"/>
                <w:lang w:val="en-US" w:eastAsia="zh-CN"/>
              </w:rPr>
              <w:t>4.</w:t>
            </w:r>
            <w:r>
              <w:rPr>
                <w:rFonts w:hint="default" w:ascii="仿宋" w:hAnsi="仿宋" w:eastAsia="仿宋" w:cs="仿宋"/>
                <w:b w:val="0"/>
                <w:bCs w:val="0"/>
                <w:spacing w:val="-13"/>
                <w:lang w:val="en-US" w:eastAsia="zh-CN"/>
              </w:rPr>
              <w:t>最低检出限不高于</w:t>
            </w:r>
            <w:r>
              <w:rPr>
                <w:rFonts w:hint="eastAsia" w:ascii="仿宋" w:hAnsi="仿宋" w:eastAsia="仿宋" w:cs="仿宋"/>
                <w:b w:val="0"/>
                <w:bCs w:val="0"/>
                <w:spacing w:val="-13"/>
                <w:lang w:val="en-US" w:eastAsia="zh-CN"/>
              </w:rPr>
              <w:t>：</w:t>
            </w:r>
          </w:p>
          <w:p w14:paraId="40B4EB6E">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val="0"/>
                <w:bCs w:val="0"/>
                <w:spacing w:val="-13"/>
                <w:lang w:val="en-US" w:eastAsia="zh-CN"/>
              </w:rPr>
              <w:t>呼吸道合胞病毒A</w:t>
            </w:r>
            <w:r>
              <w:rPr>
                <w:rFonts w:hint="eastAsia" w:ascii="仿宋" w:hAnsi="仿宋" w:eastAsia="仿宋" w:cs="仿宋"/>
                <w:b w:val="0"/>
                <w:bCs w:val="0"/>
                <w:spacing w:val="-13"/>
                <w:lang w:val="en-US" w:eastAsia="zh-CN"/>
              </w:rPr>
              <w:t>型：</w:t>
            </w:r>
            <w:r>
              <w:rPr>
                <w:rFonts w:hint="default" w:ascii="仿宋" w:hAnsi="仿宋" w:eastAsia="仿宋" w:cs="仿宋"/>
                <w:b w:val="0"/>
                <w:bCs w:val="0"/>
                <w:spacing w:val="-13"/>
                <w:lang w:val="en-US" w:eastAsia="zh-CN"/>
              </w:rPr>
              <w:t>5.0*102 TCID50/mL</w:t>
            </w:r>
            <w:r>
              <w:rPr>
                <w:rFonts w:hint="eastAsia" w:ascii="仿宋" w:hAnsi="仿宋" w:eastAsia="仿宋" w:cs="仿宋"/>
                <w:b w:val="0"/>
                <w:bCs w:val="0"/>
                <w:spacing w:val="-13"/>
                <w:lang w:val="en-US" w:eastAsia="zh-CN"/>
              </w:rPr>
              <w:t>；</w:t>
            </w:r>
          </w:p>
          <w:p w14:paraId="2A48A598">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val="0"/>
                <w:bCs w:val="0"/>
                <w:spacing w:val="-13"/>
                <w:lang w:val="en-US" w:eastAsia="zh-CN"/>
              </w:rPr>
              <w:t>呼吸道合胞病毒B型</w:t>
            </w:r>
            <w:r>
              <w:rPr>
                <w:rFonts w:hint="eastAsia" w:ascii="仿宋" w:hAnsi="仿宋" w:eastAsia="仿宋" w:cs="仿宋"/>
                <w:b w:val="0"/>
                <w:bCs w:val="0"/>
                <w:spacing w:val="-13"/>
                <w:lang w:val="en-US" w:eastAsia="zh-CN"/>
              </w:rPr>
              <w:t>：</w:t>
            </w:r>
            <w:r>
              <w:rPr>
                <w:rFonts w:hint="default" w:ascii="仿宋" w:hAnsi="仿宋" w:eastAsia="仿宋" w:cs="仿宋"/>
                <w:b w:val="0"/>
                <w:bCs w:val="0"/>
                <w:spacing w:val="-13"/>
                <w:lang w:val="en-US" w:eastAsia="zh-CN"/>
              </w:rPr>
              <w:t>5.0*102</w:t>
            </w:r>
            <w:r>
              <w:rPr>
                <w:rFonts w:hint="eastAsia" w:ascii="仿宋" w:hAnsi="仿宋" w:eastAsia="仿宋" w:cs="仿宋"/>
                <w:b w:val="0"/>
                <w:bCs w:val="0"/>
                <w:spacing w:val="-13"/>
                <w:lang w:val="en-US" w:eastAsia="zh-CN"/>
              </w:rPr>
              <w:t xml:space="preserve"> </w:t>
            </w:r>
            <w:r>
              <w:rPr>
                <w:rFonts w:hint="default" w:ascii="仿宋" w:hAnsi="仿宋" w:eastAsia="仿宋" w:cs="仿宋"/>
                <w:b w:val="0"/>
                <w:bCs w:val="0"/>
                <w:spacing w:val="-13"/>
                <w:lang w:val="en-US" w:eastAsia="zh-CN"/>
              </w:rPr>
              <w:t>TCID50/mL</w:t>
            </w:r>
          </w:p>
          <w:p w14:paraId="3CB2671B">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bCs/>
                <w:spacing w:val="-13"/>
                <w:lang w:val="en-US" w:eastAsia="zh-CN"/>
              </w:rPr>
              <w:t>5.</w:t>
            </w:r>
            <w:r>
              <w:rPr>
                <w:rFonts w:hint="default" w:ascii="仿宋" w:hAnsi="仿宋" w:eastAsia="仿宋" w:cs="仿宋"/>
                <w:b w:val="0"/>
                <w:bCs w:val="0"/>
                <w:spacing w:val="-13"/>
                <w:lang w:val="en-US" w:eastAsia="zh-CN"/>
              </w:rPr>
              <w:t>钩状效应</w:t>
            </w:r>
            <w:r>
              <w:rPr>
                <w:rFonts w:hint="eastAsia" w:ascii="仿宋" w:hAnsi="仿宋" w:eastAsia="仿宋" w:cs="仿宋"/>
                <w:b w:val="0"/>
                <w:bCs w:val="0"/>
                <w:spacing w:val="-13"/>
                <w:lang w:val="en-US" w:eastAsia="zh-CN"/>
              </w:rPr>
              <w:t>：</w:t>
            </w:r>
            <w:r>
              <w:rPr>
                <w:rFonts w:hint="default" w:ascii="仿宋" w:hAnsi="仿宋" w:eastAsia="仿宋" w:cs="仿宋"/>
                <w:b w:val="0"/>
                <w:bCs w:val="0"/>
                <w:spacing w:val="-13"/>
                <w:lang w:val="en-US" w:eastAsia="zh-CN"/>
              </w:rPr>
              <w:t>检测呼吸道合胞病毒抗原浓度≤</w:t>
            </w:r>
          </w:p>
          <w:p w14:paraId="353A1A42">
            <w:pPr>
              <w:spacing w:line="240" w:lineRule="auto"/>
              <w:ind w:left="0" w:leftChars="0" w:firstLine="0" w:firstLineChars="0"/>
              <w:jc w:val="left"/>
              <w:rPr>
                <w:rFonts w:hint="default" w:ascii="仿宋" w:hAnsi="仿宋" w:eastAsia="仿宋" w:cs="仿宋"/>
                <w:b w:val="0"/>
                <w:bCs w:val="0"/>
                <w:spacing w:val="-13"/>
                <w:lang w:val="en-US" w:eastAsia="zh-CN"/>
              </w:rPr>
            </w:pPr>
            <w:r>
              <w:rPr>
                <w:rFonts w:hint="default" w:ascii="仿宋" w:hAnsi="仿宋" w:eastAsia="仿宋" w:cs="仿宋"/>
                <w:b w:val="0"/>
                <w:bCs w:val="0"/>
                <w:spacing w:val="-13"/>
                <w:lang w:val="en-US" w:eastAsia="zh-CN"/>
              </w:rPr>
              <w:t>4.5*109</w:t>
            </w:r>
            <w:r>
              <w:rPr>
                <w:rFonts w:hint="eastAsia" w:ascii="仿宋" w:hAnsi="仿宋" w:eastAsia="仿宋" w:cs="仿宋"/>
                <w:b w:val="0"/>
                <w:bCs w:val="0"/>
                <w:spacing w:val="-13"/>
                <w:lang w:val="en-US" w:eastAsia="zh-CN"/>
              </w:rPr>
              <w:t xml:space="preserve"> </w:t>
            </w:r>
            <w:r>
              <w:rPr>
                <w:rFonts w:hint="default" w:ascii="仿宋" w:hAnsi="仿宋" w:eastAsia="仿宋" w:cs="仿宋"/>
                <w:b w:val="0"/>
                <w:bCs w:val="0"/>
                <w:spacing w:val="-13"/>
                <w:lang w:val="en-US" w:eastAsia="zh-CN"/>
              </w:rPr>
              <w:t>TCID50/mL时，未见钩状效应。</w:t>
            </w:r>
          </w:p>
          <w:p w14:paraId="1E97CF81">
            <w:pPr>
              <w:spacing w:line="240" w:lineRule="auto"/>
              <w:ind w:left="0" w:leftChars="0" w:firstLine="0" w:firstLineChars="0"/>
              <w:jc w:val="left"/>
              <w:rPr>
                <w:rFonts w:hint="default" w:ascii="方正仿宋_GBK" w:hAnsi="方正仿宋_GBK" w:eastAsia="仿宋" w:cs="方正仿宋_GBK"/>
                <w:b/>
                <w:bCs w:val="0"/>
                <w:color w:val="000000" w:themeColor="text1"/>
                <w:sz w:val="24"/>
                <w:szCs w:val="24"/>
                <w:lang w:val="en-US" w:eastAsia="zh-CN"/>
                <w14:textFill>
                  <w14:solidFill>
                    <w14:schemeClr w14:val="tx1"/>
                  </w14:solidFill>
                </w14:textFill>
              </w:rPr>
            </w:pPr>
            <w:r>
              <w:rPr>
                <w:rFonts w:hint="default" w:ascii="仿宋" w:hAnsi="仿宋" w:eastAsia="仿宋" w:cs="仿宋"/>
                <w:b/>
                <w:bCs/>
                <w:spacing w:val="-13"/>
                <w:lang w:val="en-US" w:eastAsia="zh-CN"/>
              </w:rPr>
              <w:t>6.</w:t>
            </w:r>
            <w:r>
              <w:rPr>
                <w:rFonts w:hint="default" w:ascii="仿宋" w:hAnsi="仿宋" w:eastAsia="仿宋" w:cs="仿宋"/>
                <w:b w:val="0"/>
                <w:bCs w:val="0"/>
                <w:spacing w:val="-13"/>
                <w:lang w:val="en-US" w:eastAsia="zh-CN"/>
              </w:rPr>
              <w:t>可选全自动胶体金免疫分析仪，实现自动化检测，耗材:拭子，允许自行添加配套试剂或耗材</w:t>
            </w:r>
            <w:r>
              <w:rPr>
                <w:rFonts w:hint="eastAsia" w:ascii="仿宋" w:hAnsi="仿宋" w:eastAsia="仿宋" w:cs="仿宋"/>
                <w:b w:val="0"/>
                <w:bCs w:val="0"/>
                <w:spacing w:val="-13"/>
                <w:lang w:val="en-US" w:eastAsia="zh-CN"/>
              </w:rPr>
              <w:t>。</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3EC62566">
            <w:pPr>
              <w:spacing w:line="240" w:lineRule="auto"/>
              <w:ind w:left="0" w:leftChars="0" w:firstLine="0" w:firstLineChars="0"/>
              <w:jc w:val="cente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人份</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372D8A1F">
            <w:pPr>
              <w:spacing w:line="240" w:lineRule="auto"/>
              <w:ind w:left="0" w:leftChars="0" w:firstLine="0" w:firstLineChars="0"/>
              <w:jc w:val="left"/>
              <w:rPr>
                <w:rFonts w:hint="default" w:ascii="仿宋" w:hAnsi="仿宋" w:eastAsia="仿宋" w:cs="仿宋"/>
                <w:color w:val="000000" w:themeColor="text1"/>
                <w:kern w:val="2"/>
                <w:sz w:val="20"/>
                <w:szCs w:val="20"/>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耗材：拭子</w:t>
            </w:r>
          </w:p>
        </w:tc>
      </w:tr>
    </w:tbl>
    <w:p w14:paraId="68521C99">
      <w:pPr>
        <w:keepNext w:val="0"/>
        <w:keepLines w:val="0"/>
        <w:widowControl/>
        <w:suppressLineNumbers w:val="0"/>
        <w:spacing w:line="240" w:lineRule="auto"/>
        <w:ind w:left="0" w:leftChars="0" w:firstLine="602" w:firstLineChars="200"/>
        <w:jc w:val="left"/>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8"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8"/>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60968087">
      <w:pPr>
        <w:spacing w:line="240" w:lineRule="auto"/>
        <w:rPr>
          <w:rFonts w:hint="eastAsia"/>
          <w:color w:val="000000" w:themeColor="text1"/>
          <w:lang w:val="en-US" w:eastAsia="zh-CN"/>
          <w14:textFill>
            <w14:solidFill>
              <w14:schemeClr w14:val="tx1"/>
            </w14:solidFill>
          </w14:textFill>
        </w:rPr>
      </w:pPr>
    </w:p>
    <w:p w14:paraId="19DD63F0">
      <w:pPr>
        <w:ind w:left="0" w:leftChars="0" w:firstLine="0" w:firstLineChars="0"/>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p>
    <w:p w14:paraId="1C64F67B">
      <w:pPr>
        <w:ind w:left="0" w:leftChars="0" w:firstLine="0" w:firstLineChars="0"/>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p>
    <w:p w14:paraId="7F0326B7">
      <w:pPr>
        <w:ind w:left="0" w:leftChars="0" w:firstLine="0" w:firstLineChars="0"/>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9"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70"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要求按批次进行供货。收到采购人供货通知后7天内送货至采购人后勤保障科库房或现场指定位置，紧急情况在收到供货通知后2天内送到，特别紧急货物须收到供货通知后24小时内送到。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（2）黄水院区：收到采购人供货通知后7日内送至黄水院区。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1"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2"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3"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4"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5"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6"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6"/>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7"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7"/>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8"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8"/>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2C41C0FD">
      <w:pPr>
        <w:pStyle w:val="5"/>
        <w:spacing w:line="240" w:lineRule="auto"/>
        <w:rPr>
          <w:rFonts w:hint="eastAsia" w:ascii="方正仿宋_GBK" w:hAnsi="方正仿宋_GBK" w:eastAsia="方正仿宋_GBK" w:cs="方正仿宋_GBK"/>
          <w:color w:val="000000" w:themeColor="text1"/>
          <w:sz w:val="28"/>
          <w:szCs w:val="28"/>
          <w14:textFill>
            <w14:solidFill>
              <w14:schemeClr w14:val="tx1"/>
            </w14:solidFill>
          </w14:textFill>
        </w:rPr>
      </w:pPr>
    </w:p>
    <w:p w14:paraId="7FFC64F2">
      <w:pPr>
        <w:ind w:left="0" w:leftChars="0" w:firstLine="0" w:firstLineChars="0"/>
        <w:rPr>
          <w:rFonts w:hint="eastAsia"/>
          <w:color w:val="000000" w:themeColor="text1"/>
          <w14:textFill>
            <w14:solidFill>
              <w14:schemeClr w14:val="tx1"/>
            </w14:solidFill>
          </w14:textFill>
        </w:rPr>
      </w:pPr>
    </w:p>
    <w:p w14:paraId="6D25BC24">
      <w:pPr>
        <w:ind w:left="0" w:leftChars="0" w:firstLine="0" w:firstLineChars="0"/>
        <w:rPr>
          <w:rFonts w:hint="eastAsia"/>
          <w:color w:val="000000" w:themeColor="text1"/>
          <w14:textFill>
            <w14:solidFill>
              <w14:schemeClr w14:val="tx1"/>
            </w14:solidFill>
          </w14:textFill>
        </w:rPr>
      </w:pPr>
    </w:p>
    <w:p w14:paraId="7E94F1D4">
      <w:pPr>
        <w:ind w:left="0" w:leftChars="0" w:firstLine="0" w:firstLineChars="0"/>
        <w:rPr>
          <w:rFonts w:hint="eastAsia"/>
          <w:color w:val="000000" w:themeColor="text1"/>
          <w14:textFill>
            <w14:solidFill>
              <w14:schemeClr w14:val="tx1"/>
            </w14:solidFill>
          </w14:textFill>
        </w:rPr>
      </w:pPr>
    </w:p>
    <w:p w14:paraId="25DFE950">
      <w:pPr>
        <w:ind w:left="0" w:leftChars="0" w:firstLine="0" w:firstLineChars="0"/>
        <w:rPr>
          <w:rFonts w:hint="eastAsia"/>
          <w:color w:val="000000" w:themeColor="text1"/>
          <w14:textFill>
            <w14:solidFill>
              <w14:schemeClr w14:val="tx1"/>
            </w14:solidFill>
          </w14:textFill>
        </w:rPr>
      </w:pPr>
    </w:p>
    <w:p w14:paraId="23CEA034">
      <w:pPr>
        <w:ind w:left="0" w:leftChars="0" w:firstLine="0" w:firstLineChars="0"/>
        <w:rPr>
          <w:rFonts w:hint="eastAsia"/>
          <w:color w:val="000000" w:themeColor="text1"/>
          <w14:textFill>
            <w14:solidFill>
              <w14:schemeClr w14:val="tx1"/>
            </w14:solidFill>
          </w14:textFill>
        </w:rPr>
      </w:pPr>
    </w:p>
    <w:p w14:paraId="78E16D09">
      <w:pPr>
        <w:ind w:left="0" w:leftChars="0" w:firstLine="0" w:firstLineChars="0"/>
        <w:rPr>
          <w:rFonts w:hint="eastAsia"/>
          <w:color w:val="000000" w:themeColor="text1"/>
          <w14:textFill>
            <w14:solidFill>
              <w14:schemeClr w14:val="tx1"/>
            </w14:solidFill>
          </w14:textFill>
        </w:rPr>
      </w:pPr>
    </w:p>
    <w:p w14:paraId="172617CE">
      <w:pPr>
        <w:ind w:left="0" w:leftChars="0" w:firstLine="0" w:firstLineChars="0"/>
        <w:rPr>
          <w:rFonts w:hint="eastAsia"/>
          <w:color w:val="000000" w:themeColor="text1"/>
          <w14:textFill>
            <w14:solidFill>
              <w14:schemeClr w14:val="tx1"/>
            </w14:solidFill>
          </w14:textFill>
        </w:rPr>
      </w:pPr>
    </w:p>
    <w:p w14:paraId="7365418E">
      <w:pPr>
        <w:ind w:left="0" w:leftChars="0" w:firstLine="0" w:firstLineChars="0"/>
        <w:rPr>
          <w:rFonts w:hint="eastAsia"/>
          <w:color w:val="000000" w:themeColor="text1"/>
          <w14:textFill>
            <w14:solidFill>
              <w14:schemeClr w14:val="tx1"/>
            </w14:solidFill>
          </w14:textFill>
        </w:rPr>
      </w:pPr>
    </w:p>
    <w:p w14:paraId="7865EC8D">
      <w:pPr>
        <w:ind w:left="0" w:leftChars="0" w:firstLine="0" w:firstLineChars="0"/>
        <w:rPr>
          <w:rFonts w:hint="eastAsia"/>
          <w:color w:val="000000" w:themeColor="text1"/>
          <w14:textFill>
            <w14:solidFill>
              <w14:schemeClr w14:val="tx1"/>
            </w14:solidFill>
          </w14:textFill>
        </w:rPr>
      </w:pPr>
    </w:p>
    <w:p w14:paraId="0999EAC9">
      <w:pPr>
        <w:ind w:left="0" w:leftChars="0" w:firstLine="0" w:firstLineChars="0"/>
        <w:rPr>
          <w:rFonts w:hint="eastAsia"/>
          <w:color w:val="000000" w:themeColor="text1"/>
          <w14:textFill>
            <w14:solidFill>
              <w14:schemeClr w14:val="tx1"/>
            </w14:solidFill>
          </w14:textFill>
        </w:rPr>
      </w:pPr>
    </w:p>
    <w:p w14:paraId="4C7931AA">
      <w:pPr>
        <w:ind w:left="0" w:leftChars="0" w:firstLine="0" w:firstLineChars="0"/>
        <w:rPr>
          <w:rFonts w:hint="eastAsia"/>
          <w:color w:val="000000" w:themeColor="text1"/>
          <w14:textFill>
            <w14:solidFill>
              <w14:schemeClr w14:val="tx1"/>
            </w14:solidFill>
          </w14:textFill>
        </w:rPr>
      </w:pPr>
    </w:p>
    <w:p w14:paraId="163EA5B9">
      <w:pPr>
        <w:ind w:left="0" w:leftChars="0" w:firstLine="0" w:firstLineChars="0"/>
        <w:rPr>
          <w:rFonts w:hint="eastAsia"/>
          <w:color w:val="000000" w:themeColor="text1"/>
          <w14:textFill>
            <w14:solidFill>
              <w14:schemeClr w14:val="tx1"/>
            </w14:solidFill>
          </w14:textFill>
        </w:rPr>
      </w:pPr>
    </w:p>
    <w:p w14:paraId="4DC97499">
      <w:pPr>
        <w:ind w:left="0" w:leftChars="0" w:firstLine="0" w:firstLineChars="0"/>
        <w:rPr>
          <w:rFonts w:hint="eastAsia"/>
          <w:color w:val="000000" w:themeColor="text1"/>
          <w14:textFill>
            <w14:solidFill>
              <w14:schemeClr w14:val="tx1"/>
            </w14:solidFill>
          </w14:textFill>
        </w:rPr>
      </w:pPr>
    </w:p>
    <w:p w14:paraId="4CB70C57">
      <w:pPr>
        <w:ind w:left="0" w:leftChars="0" w:firstLine="0" w:firstLineChars="0"/>
        <w:rPr>
          <w:rFonts w:hint="eastAsia"/>
          <w:color w:val="000000" w:themeColor="text1"/>
          <w14:textFill>
            <w14:solidFill>
              <w14:schemeClr w14:val="tx1"/>
            </w14:solidFill>
          </w14:textFill>
        </w:rPr>
      </w:pPr>
    </w:p>
    <w:p w14:paraId="7AAD3EB2">
      <w:pPr>
        <w:ind w:left="0" w:leftChars="0" w:firstLine="0" w:firstLineChars="0"/>
        <w:rPr>
          <w:rFonts w:hint="eastAsia"/>
          <w:color w:val="000000" w:themeColor="text1"/>
          <w14:textFill>
            <w14:solidFill>
              <w14:schemeClr w14:val="tx1"/>
            </w14:solidFill>
          </w14:textFill>
        </w:rPr>
      </w:pPr>
    </w:p>
    <w:p w14:paraId="2F68A3FA">
      <w:pPr>
        <w:ind w:left="0" w:leftChars="0" w:firstLine="0" w:firstLineChars="0"/>
        <w:rPr>
          <w:rFonts w:hint="eastAsia"/>
          <w:color w:val="000000" w:themeColor="text1"/>
          <w14:textFill>
            <w14:solidFill>
              <w14:schemeClr w14:val="tx1"/>
            </w14:solidFill>
          </w14:textFill>
        </w:rPr>
      </w:pPr>
    </w:p>
    <w:p w14:paraId="79FA565D">
      <w:pPr>
        <w:ind w:left="0" w:leftChars="0" w:firstLine="0" w:firstLineChars="0"/>
        <w:rPr>
          <w:rFonts w:hint="eastAsia"/>
          <w:color w:val="000000" w:themeColor="text1"/>
          <w14:textFill>
            <w14:solidFill>
              <w14:schemeClr w14:val="tx1"/>
            </w14:solidFill>
          </w14:textFill>
        </w:rPr>
      </w:pPr>
    </w:p>
    <w:p w14:paraId="2761EDA9">
      <w:pPr>
        <w:ind w:left="0" w:leftChars="0" w:firstLine="0" w:firstLineChars="0"/>
        <w:rPr>
          <w:rFonts w:hint="eastAsia"/>
          <w:color w:val="000000" w:themeColor="text1"/>
          <w14:textFill>
            <w14:solidFill>
              <w14:schemeClr w14:val="tx1"/>
            </w14:solidFill>
          </w14:textFill>
        </w:rPr>
      </w:pPr>
    </w:p>
    <w:p w14:paraId="1AADD092">
      <w:pPr>
        <w:ind w:left="0" w:leftChars="0" w:firstLine="0" w:firstLineChars="0"/>
        <w:rPr>
          <w:rFonts w:hint="eastAsia"/>
          <w:color w:val="000000" w:themeColor="text1"/>
          <w14:textFill>
            <w14:solidFill>
              <w14:schemeClr w14:val="tx1"/>
            </w14:solidFill>
          </w14:textFill>
        </w:rPr>
      </w:pPr>
    </w:p>
    <w:p w14:paraId="1DD5D668">
      <w:pPr>
        <w:ind w:left="0" w:leftChars="0" w:firstLine="0" w:firstLineChars="0"/>
        <w:rPr>
          <w:rFonts w:hint="eastAsia"/>
          <w:color w:val="000000" w:themeColor="text1"/>
          <w14:textFill>
            <w14:solidFill>
              <w14:schemeClr w14:val="tx1"/>
            </w14:solidFill>
          </w14:textFill>
        </w:rPr>
      </w:pPr>
    </w:p>
    <w:p w14:paraId="7D8F21BD">
      <w:pPr>
        <w:ind w:left="0" w:leftChars="0" w:firstLine="0" w:firstLineChars="0"/>
        <w:rPr>
          <w:rFonts w:hint="eastAsia"/>
          <w:color w:val="000000" w:themeColor="text1"/>
          <w14:textFill>
            <w14:solidFill>
              <w14:schemeClr w14:val="tx1"/>
            </w14:solidFill>
          </w14:textFill>
        </w:rPr>
      </w:pPr>
    </w:p>
    <w:p w14:paraId="6A57D6E2">
      <w:pPr>
        <w:ind w:left="0" w:leftChars="0" w:firstLine="0" w:firstLineChars="0"/>
        <w:rPr>
          <w:rFonts w:hint="eastAsia"/>
          <w:color w:val="000000" w:themeColor="text1"/>
          <w14:textFill>
            <w14:solidFill>
              <w14:schemeClr w14:val="tx1"/>
            </w14:solidFill>
          </w14:textFill>
        </w:rPr>
      </w:pPr>
    </w:p>
    <w:p w14:paraId="5DE25AA6">
      <w:pPr>
        <w:ind w:left="0" w:leftChars="0" w:firstLine="0" w:firstLineChars="0"/>
        <w:rPr>
          <w:rFonts w:hint="eastAsia"/>
          <w:color w:val="000000" w:themeColor="text1"/>
          <w14:textFill>
            <w14:solidFill>
              <w14:schemeClr w14:val="tx1"/>
            </w14:solidFill>
          </w14:textFill>
        </w:rPr>
      </w:pPr>
    </w:p>
    <w:p w14:paraId="5199ED68">
      <w:pPr>
        <w:ind w:left="0" w:leftChars="0" w:firstLine="0" w:firstLineChars="0"/>
        <w:rPr>
          <w:rFonts w:hint="eastAsia"/>
          <w:color w:val="000000" w:themeColor="text1"/>
          <w14:textFill>
            <w14:solidFill>
              <w14:schemeClr w14:val="tx1"/>
            </w14:solidFill>
          </w14:textFill>
        </w:rPr>
      </w:pPr>
    </w:p>
    <w:p w14:paraId="5867652A">
      <w:pPr>
        <w:ind w:left="0" w:leftChars="0" w:firstLine="0" w:firstLineChars="0"/>
        <w:rPr>
          <w:rFonts w:hint="eastAsia"/>
          <w:color w:val="000000" w:themeColor="text1"/>
          <w14:textFill>
            <w14:solidFill>
              <w14:schemeClr w14:val="tx1"/>
            </w14:solidFill>
          </w14:textFill>
        </w:rPr>
      </w:pPr>
    </w:p>
    <w:p w14:paraId="23CFD04B">
      <w:pPr>
        <w:ind w:left="0" w:leftChars="0" w:firstLine="0" w:firstLineChars="0"/>
        <w:rPr>
          <w:rFonts w:hint="eastAsia"/>
          <w:color w:val="000000" w:themeColor="text1"/>
          <w14:textFill>
            <w14:solidFill>
              <w14:schemeClr w14:val="tx1"/>
            </w14:solidFill>
          </w14:textFill>
        </w:rPr>
      </w:pPr>
    </w:p>
    <w:p w14:paraId="5080EEFE">
      <w:pPr>
        <w:ind w:left="0" w:leftChars="0" w:firstLine="0" w:firstLineChars="0"/>
        <w:rPr>
          <w:rFonts w:hint="eastAsia"/>
          <w:color w:val="000000" w:themeColor="text1"/>
          <w14:textFill>
            <w14:solidFill>
              <w14:schemeClr w14:val="tx1"/>
            </w14:solidFill>
          </w14:textFill>
        </w:rPr>
      </w:pPr>
    </w:p>
    <w:p w14:paraId="516197F6">
      <w:pPr>
        <w:ind w:left="0" w:leftChars="0" w:firstLine="0" w:firstLineChars="0"/>
        <w:rPr>
          <w:rFonts w:hint="eastAsia"/>
          <w:color w:val="000000" w:themeColor="text1"/>
          <w14:textFill>
            <w14:solidFill>
              <w14:schemeClr w14:val="tx1"/>
            </w14:solidFill>
          </w14:textFill>
        </w:rPr>
      </w:pPr>
    </w:p>
    <w:p w14:paraId="7CBE9367">
      <w:pPr>
        <w:pStyle w:val="3"/>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9" w:name="_Toc7572"/>
      <w:bookmarkStart w:id="80" w:name="_Toc76462337"/>
      <w:bookmarkStart w:id="81" w:name="_Toc106030892"/>
      <w:bookmarkStart w:id="82" w:name="_Toc102227313"/>
      <w:bookmarkStart w:id="83" w:name="_Toc29948"/>
      <w:bookmarkStart w:id="84"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5" w:name="OLE_LINK22"/>
      <w:bookmarkStart w:id="86"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5"/>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7"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8"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6"/>
    </w:p>
    <w:bookmarkEnd w:id="87"/>
    <w:bookmarkEnd w:id="88"/>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9"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9"/>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noWrap w:val="0"/>
            <w:vAlign w:val="center"/>
          </w:tcPr>
          <w:p w14:paraId="625F373F">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提供上一年度合法有效的财务状况报告（表）复印件（若2025年度尚未出具的，提供2024年度的；同时对2025年度尚未出具情况出具情况说明加盖鲜章）。本年度新成立的公司提供提交响应文件截止时间前一个月的财务状况报告（表）复印件。</w:t>
            </w: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税务登记证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或“三证合一”</w:t>
            </w:r>
            <w:r>
              <w:rPr>
                <w:rFonts w:hint="eastAsia" w:ascii="方正仿宋_GBK" w:hAnsi="方正仿宋_GBK" w:eastAsia="方正仿宋_GBK" w:cs="方正仿宋_GBK"/>
                <w:color w:val="000000" w:themeColor="text1"/>
                <w:sz w:val="24"/>
                <w:szCs w:val="24"/>
                <w14:textFill>
                  <w14:solidFill>
                    <w14:schemeClr w14:val="tx1"/>
                  </w14:solidFill>
                </w14:textFill>
              </w:rPr>
              <w:t>营业执照（副本）复印件和社会保险缴纳证明材料</w:t>
            </w: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noWrap w:val="0"/>
            <w:vAlign w:val="center"/>
          </w:tcPr>
          <w:p w14:paraId="69FB533D">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p w14:paraId="15611445">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“信用中国”网站(www.creditchina.gov.cn)、"中国政府采购网"(www.ccgp.gov.cn)</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、中国执行信息公开网（</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www.</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zxgk.court.gov.cn）</w:t>
            </w:r>
            <w:r>
              <w:rPr>
                <w:rFonts w:hint="eastAsia" w:ascii="方正仿宋_GBK" w:hAnsi="方正仿宋_GBK" w:eastAsia="方正仿宋_GBK" w:cs="方正仿宋_GBK"/>
                <w:color w:val="000000" w:themeColor="text1"/>
                <w:sz w:val="24"/>
                <w:szCs w:val="24"/>
                <w14:textFill>
                  <w14:solidFill>
                    <w14:schemeClr w14:val="tx1"/>
                  </w14:solidFill>
                </w14:textFill>
              </w:rPr>
              <w:t>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渠道查询投标人信用记录（失信被执行人、重大税收违法失信主体、</w:t>
            </w:r>
            <w:r>
              <w:rPr>
                <w:rFonts w:hint="eastAsia" w:ascii="方正仿宋_GBK" w:hAnsi="方正仿宋_GBK" w:eastAsia="方正仿宋_GBK" w:cs="方正仿宋_GBK"/>
                <w:color w:val="000000" w:themeColor="text1"/>
                <w:sz w:val="24"/>
                <w:szCs w:val="24"/>
                <w14:textFill>
                  <w14:solidFill>
                    <w14:schemeClr w14:val="tx1"/>
                  </w14:solidFill>
                </w14:textFill>
              </w:rPr>
              <w:t>政府采购严重违法失信行为记录名单，建议查询结果网页打印并加盖投标人公章）</w:t>
            </w:r>
          </w:p>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3.以上查询时间为本项目采购公告发布之日起至响应文件递交截止时间前。</w:t>
            </w: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90"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90"/>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1"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1"/>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2"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2"/>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3" w:name="OLE_LINK25"/>
      <w:bookmarkStart w:id="94"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3"/>
    </w:p>
    <w:bookmarkEnd w:id="94"/>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4BD50483">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65D6FE51">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5E116812">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0C2E8566">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432647CB">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5981125F">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3C41CD34">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15459EDF">
      <w:pPr>
        <w:ind w:left="0" w:leftChars="0" w:firstLine="0" w:firstLineChars="0"/>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3CB0120D">
      <w:pPr>
        <w:pStyle w:val="3"/>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9"/>
      <w:bookmarkEnd w:id="80"/>
      <w:bookmarkEnd w:id="81"/>
      <w:bookmarkEnd w:id="82"/>
      <w:bookmarkEnd w:id="83"/>
    </w:p>
    <w:p w14:paraId="3BDC0F42">
      <w:pPr>
        <w:pStyle w:val="3"/>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3"/>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3"/>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5"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6"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6"/>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5"/>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7"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7"/>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8"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8"/>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9"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9"/>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00"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100"/>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1"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1"/>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2"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3"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3"/>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4"/>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4"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4"/>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5"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6"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7"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7"/>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8"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8"/>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9"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9"/>
      <w:bookmarkStart w:id="110" w:name="OLE_LINK20"/>
      <w:bookmarkStart w:id="111" w:name="OLE_LINK48"/>
      <w:bookmarkStart w:id="112"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0"/>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3"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4"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5"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5"/>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1D79D14B">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6" w:name="_Toc1376"/>
      <w:bookmarkStart w:id="117" w:name="_Toc14115"/>
      <w:bookmarkStart w:id="118" w:name="_Toc31803"/>
      <w:bookmarkStart w:id="119" w:name="_Toc27813"/>
      <w:bookmarkStart w:id="120" w:name="_Toc21609"/>
      <w:bookmarkStart w:id="121" w:name="_Toc16632"/>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6"/>
      <w:bookmarkEnd w:id="117"/>
      <w:bookmarkEnd w:id="118"/>
      <w:bookmarkEnd w:id="119"/>
    </w:p>
    <w:bookmarkEnd w:id="120"/>
    <w:bookmarkEnd w:id="121"/>
    <w:p w14:paraId="001319CF">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2" w:name="_Toc961"/>
      <w:bookmarkStart w:id="123" w:name="_Toc11973"/>
      <w:bookmarkStart w:id="124" w:name="_Toc14134"/>
      <w:bookmarkStart w:id="125" w:name="_Toc19692"/>
      <w:bookmarkStart w:id="126" w:name="_Toc29161"/>
      <w:bookmarkStart w:id="127" w:name="_Toc23448"/>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2"/>
      <w:bookmarkEnd w:id="123"/>
      <w:bookmarkEnd w:id="124"/>
      <w:bookmarkEnd w:id="125"/>
      <w:bookmarkEnd w:id="126"/>
      <w:bookmarkEnd w:id="127"/>
      <w:bookmarkStart w:id="128" w:name="_Toc404"/>
      <w:bookmarkEnd w:id="128"/>
      <w:bookmarkStart w:id="129" w:name="_Toc31226"/>
      <w:bookmarkEnd w:id="129"/>
      <w:bookmarkStart w:id="130" w:name="_Toc31370"/>
      <w:bookmarkEnd w:id="130"/>
      <w:bookmarkStart w:id="131" w:name="_Toc9103"/>
      <w:bookmarkEnd w:id="131"/>
      <w:bookmarkStart w:id="132" w:name="_Toc23948"/>
      <w:bookmarkStart w:id="133" w:name="_Toc17636"/>
    </w:p>
    <w:p w14:paraId="28BCA326">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4" w:name="_Toc550"/>
      <w:bookmarkStart w:id="135" w:name="_Toc7653"/>
      <w:bookmarkStart w:id="136" w:name="_Toc23777"/>
      <w:bookmarkStart w:id="137" w:name="_Toc29715"/>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8"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2"/>
      <w:bookmarkEnd w:id="133"/>
      <w:bookmarkEnd w:id="134"/>
      <w:bookmarkEnd w:id="135"/>
      <w:bookmarkEnd w:id="136"/>
      <w:bookmarkEnd w:id="137"/>
      <w:bookmarkStart w:id="139" w:name="_Toc4015"/>
      <w:bookmarkStart w:id="140" w:name="_Toc9575"/>
    </w:p>
    <w:bookmarkEnd w:id="138"/>
    <w:p w14:paraId="600E28E4">
      <w:pPr>
        <w:pStyle w:val="3"/>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1"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2"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2"/>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9"/>
    <w:bookmarkEnd w:id="140"/>
    <w:p w14:paraId="73CC59EC">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3" w:name="_Toc8271"/>
      <w:bookmarkStart w:id="144" w:name="_Toc8767"/>
      <w:bookmarkStart w:id="145" w:name="_Toc22187"/>
      <w:bookmarkStart w:id="146" w:name="_Toc20872"/>
      <w:bookmarkStart w:id="147" w:name="_Toc26259"/>
      <w:bookmarkStart w:id="148" w:name="_Toc23313"/>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9"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50"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3"/>
      <w:bookmarkEnd w:id="144"/>
      <w:bookmarkEnd w:id="145"/>
      <w:bookmarkEnd w:id="146"/>
      <w:bookmarkEnd w:id="147"/>
      <w:bookmarkEnd w:id="148"/>
    </w:p>
    <w:p w14:paraId="5562AE50">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1"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1"/>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2" w:name="OLE_LINK67"/>
      <w:bookmarkStart w:id="153"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2"/>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3"/>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4" w:name="_Toc17815"/>
      <w:bookmarkStart w:id="155" w:name="_Toc24488"/>
      <w:bookmarkStart w:id="156" w:name="_Toc9264"/>
      <w:bookmarkStart w:id="157" w:name="_Toc21077"/>
      <w:bookmarkStart w:id="158"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9"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4"/>
      <w:bookmarkEnd w:id="155"/>
      <w:bookmarkEnd w:id="156"/>
      <w:bookmarkEnd w:id="157"/>
      <w:bookmarkEnd w:id="159"/>
    </w:p>
    <w:p w14:paraId="6EC80639">
      <w:pPr>
        <w:pStyle w:val="5"/>
        <w:rPr>
          <w:rFonts w:hint="eastAsia"/>
          <w:color w:val="000000" w:themeColor="text1"/>
          <w:sz w:val="28"/>
          <w:szCs w:val="28"/>
          <w14:textFill>
            <w14:solidFill>
              <w14:schemeClr w14:val="tx1"/>
            </w14:solidFill>
          </w14:textFill>
        </w:rPr>
      </w:pPr>
    </w:p>
    <w:bookmarkEnd w:id="158"/>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60"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1"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1"/>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2"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4"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4"/>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2"/>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1FA2CDCC">
      <w:pPr>
        <w:pStyle w:val="5"/>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5" w:name="_Toc156196559"/>
      <w:bookmarkStart w:id="166" w:name="_Toc156815770"/>
      <w:bookmarkStart w:id="167" w:name="_Toc156196470"/>
      <w:bookmarkStart w:id="168" w:name="_Toc166549448"/>
      <w:bookmarkStart w:id="169" w:name="_Toc173677397"/>
      <w:bookmarkStart w:id="170" w:name="_Toc175017342"/>
      <w:bookmarkStart w:id="171" w:name="_Toc128229916"/>
      <w:bookmarkStart w:id="172" w:name="_Toc128229302"/>
      <w:bookmarkStart w:id="173" w:name="_Toc166139912"/>
      <w:bookmarkStart w:id="174" w:name="_Toc156730450"/>
      <w:bookmarkStart w:id="175" w:name="_Toc128229745"/>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5"/>
      <w:bookmarkEnd w:id="166"/>
      <w:bookmarkEnd w:id="167"/>
      <w:bookmarkEnd w:id="168"/>
      <w:bookmarkEnd w:id="169"/>
      <w:bookmarkEnd w:id="170"/>
      <w:bookmarkEnd w:id="171"/>
      <w:bookmarkEnd w:id="172"/>
      <w:bookmarkEnd w:id="173"/>
      <w:bookmarkEnd w:id="174"/>
      <w:bookmarkEnd w:id="175"/>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6" w:name="_Toc156196471"/>
      <w:bookmarkStart w:id="177" w:name="_Toc128229917"/>
      <w:bookmarkStart w:id="178" w:name="_Toc156815771"/>
      <w:bookmarkStart w:id="179" w:name="_Toc175017343"/>
      <w:bookmarkStart w:id="180" w:name="_Toc128229303"/>
      <w:bookmarkStart w:id="181" w:name="_Toc156730451"/>
      <w:bookmarkStart w:id="182" w:name="_Toc156196560"/>
      <w:bookmarkStart w:id="183" w:name="_Toc166549449"/>
      <w:bookmarkStart w:id="184" w:name="_Toc166139913"/>
      <w:bookmarkStart w:id="185" w:name="_Toc128229746"/>
      <w:bookmarkStart w:id="186" w:name="_Toc173677398"/>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6"/>
      <w:bookmarkEnd w:id="177"/>
      <w:bookmarkEnd w:id="178"/>
      <w:bookmarkEnd w:id="179"/>
      <w:bookmarkEnd w:id="180"/>
      <w:bookmarkEnd w:id="181"/>
      <w:bookmarkEnd w:id="182"/>
      <w:bookmarkEnd w:id="183"/>
      <w:bookmarkEnd w:id="184"/>
      <w:bookmarkEnd w:id="185"/>
      <w:bookmarkEnd w:id="186"/>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7" w:name="_Toc173677399"/>
      <w:bookmarkStart w:id="188" w:name="_Toc237057793"/>
      <w:bookmarkStart w:id="189" w:name="_Toc128014297"/>
      <w:bookmarkStart w:id="190" w:name="_Toc156196472"/>
      <w:bookmarkStart w:id="191" w:name="_Toc128229747"/>
      <w:bookmarkStart w:id="192" w:name="_Toc128229304"/>
      <w:bookmarkStart w:id="193" w:name="_Toc175017344"/>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7"/>
      <w:bookmarkEnd w:id="188"/>
      <w:bookmarkEnd w:id="189"/>
      <w:bookmarkEnd w:id="190"/>
      <w:bookmarkEnd w:id="191"/>
      <w:bookmarkEnd w:id="192"/>
      <w:bookmarkEnd w:id="193"/>
      <w:bookmarkStart w:id="194" w:name="OLE_LINK54"/>
      <w:bookmarkStart w:id="195"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4"/>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6"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5"/>
      <w:bookmarkEnd w:id="196"/>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7" w:name="OLE_LINK64"/>
      <w:bookmarkStart w:id="198"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7"/>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8"/>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9"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200"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w:t>
      </w:r>
      <w:bookmarkStart w:id="201" w:name="OLE_LINK61"/>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End w:id="201"/>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200"/>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具有履行合同所必需的设备和专业技术能力，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资格条件。我方对以上声明负全部法律责任。</w:t>
      </w:r>
    </w:p>
    <w:p w14:paraId="3CEE2C6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特此声明。</w:t>
      </w:r>
    </w:p>
    <w:p w14:paraId="58B90BBC">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附两个网站查询情况截图</w:t>
      </w:r>
      <w:r>
        <w:rPr>
          <w:rFonts w:hint="eastAsia" w:ascii="方正仿宋_GBK" w:hAnsi="方正仿宋_GBK" w:eastAsia="方正仿宋_GBK" w:cs="方正仿宋_GBK"/>
          <w:b/>
          <w:bCs/>
          <w:color w:val="000000" w:themeColor="text1"/>
          <w:sz w:val="24"/>
          <w:szCs w:val="24"/>
          <w14:textFill>
            <w14:solidFill>
              <w14:schemeClr w14:val="tx1"/>
            </w14:solidFill>
          </w14:textFill>
        </w:rPr>
        <w:t xml:space="preserve"> </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3"/>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2"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2"/>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3"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3"/>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4"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4"/>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5"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5"/>
      <w:bookmarkStart w:id="206"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6"/>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25B284FA">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E726DD85-C85D-4D8A-B91B-0B87D6D3E4D3}"/>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35E2751F-AD94-4B0E-87FA-C633528CF5C2}"/>
  </w:font>
  <w:font w:name="方正仿宋_GBK">
    <w:panose1 w:val="03000509000000000000"/>
    <w:charset w:val="86"/>
    <w:family w:val="script"/>
    <w:pitch w:val="default"/>
    <w:sig w:usb0="00000001" w:usb1="080E0000" w:usb2="00000000" w:usb3="00000000" w:csb0="00040000" w:csb1="00000000"/>
    <w:embedRegular r:id="rId3" w:fontKey="{7F8911EC-B07A-4B5D-8CCF-98EA4B8B5F31}"/>
  </w:font>
  <w:font w:name="仿宋">
    <w:panose1 w:val="02010609060101010101"/>
    <w:charset w:val="86"/>
    <w:family w:val="auto"/>
    <w:pitch w:val="default"/>
    <w:sig w:usb0="800002BF" w:usb1="38CF7CFA" w:usb2="00000016" w:usb3="00000000" w:csb0="00040001" w:csb1="00000000"/>
    <w:embedRegular r:id="rId4" w:fontKey="{0C865DDC-8760-486A-98E3-BBE8438008D8}"/>
  </w:font>
  <w:font w:name="微软雅黑">
    <w:panose1 w:val="020B0503020204020204"/>
    <w:charset w:val="86"/>
    <w:family w:val="swiss"/>
    <w:pitch w:val="default"/>
    <w:sig w:usb0="80000287" w:usb1="2ACF3C50" w:usb2="00000016" w:usb3="00000000" w:csb0="0004001F" w:csb1="00000000"/>
    <w:embedRegular r:id="rId5" w:fontKey="{B519F68D-D98F-49E1-A601-1562E0C9DA53}"/>
  </w:font>
  <w:font w:name="华文仿宋">
    <w:panose1 w:val="02010600040101010101"/>
    <w:charset w:val="86"/>
    <w:family w:val="auto"/>
    <w:pitch w:val="default"/>
    <w:sig w:usb0="00000287" w:usb1="080F0000" w:usb2="00000000" w:usb3="00000000" w:csb0="0004009F" w:csb1="DFD70000"/>
    <w:embedRegular r:id="rId6" w:fontKey="{C0600746-9839-4DA2-80A8-6B64ED9C76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1257A7"/>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BA3BE1"/>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AC70D6"/>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F17FD1"/>
    <w:rsid w:val="3D001FC2"/>
    <w:rsid w:val="3D2F0AF9"/>
    <w:rsid w:val="3DAA0180"/>
    <w:rsid w:val="3DC70D32"/>
    <w:rsid w:val="3DCE20C0"/>
    <w:rsid w:val="3DD376D7"/>
    <w:rsid w:val="3E442382"/>
    <w:rsid w:val="3E444130"/>
    <w:rsid w:val="3E6F5651"/>
    <w:rsid w:val="3E774506"/>
    <w:rsid w:val="3E7762B4"/>
    <w:rsid w:val="3EDE6333"/>
    <w:rsid w:val="3F077B19"/>
    <w:rsid w:val="3F2A34D1"/>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0F7387D"/>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9A6657"/>
    <w:rsid w:val="6AA10091"/>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171</Words>
  <Characters>187</Characters>
  <Lines>0</Lines>
  <Paragraphs>0</Paragraphs>
  <TotalTime>16</TotalTime>
  <ScaleCrop>false</ScaleCrop>
  <LinksUpToDate>false</LinksUpToDate>
  <CharactersWithSpaces>191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2026-09-02T06:08:54Z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51E443AD6F224CAA919B0C54CD670DD3_13</vt:lpwstr>
  </property>
  <property fmtid="{D5CDD505-2E9C-101B-9397-08002B2CF9AE}" pid="4" name="KSOTemplateDocerSaveRecord">
    <vt:lpwstr>eyJoZGlkIjoiZGI0NWNjYjdmNjA4OTRhMTQ1OTk0MDM1MzQ0OTA4NWQiLCJ1c2VySWQiOiIxNTQ5ODY5MzQ3In0=</vt:lpwstr>
  </property>
</Properties>
</file>