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615CCD">
      <w:pPr>
        <w:spacing w:line="560" w:lineRule="exact"/>
        <w:jc w:val="center"/>
        <w:rPr>
          <w:rFonts w:hint="eastAsia" w:ascii="方正小标宋_GBK" w:hAnsi="方正小标宋_GBK" w:eastAsia="方正小标宋_GBK" w:cs="方正小标宋_GBK"/>
          <w:bCs/>
          <w:sz w:val="30"/>
          <w:szCs w:val="30"/>
          <w:lang w:val="en-US" w:eastAsia="zh-CN"/>
        </w:rPr>
      </w:pPr>
      <w:r>
        <w:rPr>
          <w:rFonts w:hint="eastAsia" w:ascii="方正小标宋_GBK" w:hAnsi="方正小标宋_GBK" w:eastAsia="方正小标宋_GBK" w:cs="方正小标宋_GBK"/>
          <w:bCs/>
          <w:sz w:val="30"/>
          <w:szCs w:val="30"/>
        </w:rPr>
        <w:t>重庆医科大学附属康复医院202</w:t>
      </w:r>
      <w:r>
        <w:rPr>
          <w:rFonts w:hint="eastAsia" w:ascii="方正小标宋_GBK" w:hAnsi="方正小标宋_GBK" w:eastAsia="方正小标宋_GBK" w:cs="方正小标宋_GBK"/>
          <w:bCs/>
          <w:sz w:val="30"/>
          <w:szCs w:val="30"/>
          <w:lang w:val="en-US" w:eastAsia="zh-CN"/>
        </w:rPr>
        <w:t>6</w:t>
      </w:r>
      <w:bookmarkStart w:id="3" w:name="_GoBack"/>
      <w:bookmarkEnd w:id="3"/>
      <w:r>
        <w:rPr>
          <w:rFonts w:hint="eastAsia" w:ascii="方正小标宋_GBK" w:hAnsi="方正小标宋_GBK" w:eastAsia="方正小标宋_GBK" w:cs="方正小标宋_GBK"/>
          <w:bCs/>
          <w:sz w:val="30"/>
          <w:szCs w:val="30"/>
        </w:rPr>
        <w:t>年</w:t>
      </w:r>
      <w:r>
        <w:rPr>
          <w:rFonts w:hint="eastAsia" w:ascii="方正小标宋_GBK" w:hAnsi="方正小标宋_GBK" w:eastAsia="方正小标宋_GBK" w:cs="方正小标宋_GBK"/>
          <w:bCs/>
          <w:sz w:val="30"/>
          <w:szCs w:val="30"/>
          <w:lang w:eastAsia="zh-CN"/>
        </w:rPr>
        <w:t>设备</w:t>
      </w:r>
      <w:r>
        <w:rPr>
          <w:rFonts w:hint="eastAsia" w:ascii="方正小标宋_GBK" w:hAnsi="方正小标宋_GBK" w:eastAsia="方正小标宋_GBK" w:cs="方正小标宋_GBK"/>
          <w:bCs/>
          <w:sz w:val="30"/>
          <w:szCs w:val="30"/>
        </w:rPr>
        <w:t>类采购公告</w:t>
      </w:r>
      <w:r>
        <w:rPr>
          <w:rFonts w:hint="eastAsia" w:ascii="方正小标宋_GBK" w:hAnsi="方正小标宋_GBK" w:eastAsia="方正小标宋_GBK" w:cs="方正小标宋_GBK"/>
          <w:bCs/>
          <w:sz w:val="30"/>
          <w:szCs w:val="30"/>
          <w:lang w:eastAsia="zh-CN"/>
        </w:rPr>
        <w:t>（</w:t>
      </w:r>
      <w:r>
        <w:rPr>
          <w:rFonts w:hint="eastAsia" w:ascii="方正小标宋_GBK" w:hAnsi="方正小标宋_GBK" w:eastAsia="方正小标宋_GBK" w:cs="方正小标宋_GBK"/>
          <w:bCs/>
          <w:sz w:val="30"/>
          <w:szCs w:val="30"/>
          <w:lang w:val="en-US" w:eastAsia="zh-CN"/>
        </w:rPr>
        <w:t>第二次</w:t>
      </w:r>
      <w:r>
        <w:rPr>
          <w:rFonts w:hint="eastAsia" w:ascii="方正小标宋_GBK" w:hAnsi="方正小标宋_GBK" w:eastAsia="方正小标宋_GBK" w:cs="方正小标宋_GBK"/>
          <w:bCs/>
          <w:sz w:val="30"/>
          <w:szCs w:val="30"/>
          <w:lang w:eastAsia="zh-CN"/>
        </w:rPr>
        <w:t>）</w:t>
      </w:r>
    </w:p>
    <w:p w14:paraId="33D2A6D0">
      <w:pPr>
        <w:spacing w:line="560" w:lineRule="exact"/>
        <w:jc w:val="center"/>
        <w:rPr>
          <w:rFonts w:hint="eastAsia" w:ascii="方正小标宋_GBK" w:hAnsi="方正小标宋_GBK" w:eastAsia="方正小标宋_GBK" w:cs="方正小标宋_GBK"/>
          <w:bCs/>
          <w:sz w:val="30"/>
          <w:szCs w:val="30"/>
        </w:rPr>
      </w:pPr>
      <w:r>
        <w:rPr>
          <w:rFonts w:hint="eastAsia" w:ascii="方正小标宋_GBK" w:hAnsi="方正小标宋_GBK" w:eastAsia="方正小标宋_GBK" w:cs="方正小标宋_GBK"/>
          <w:bCs/>
          <w:sz w:val="30"/>
          <w:szCs w:val="30"/>
        </w:rPr>
        <w:t>（</w:t>
      </w:r>
      <w:r>
        <w:rPr>
          <w:rFonts w:hint="eastAsia" w:ascii="方正小标宋_GBK" w:hAnsi="方正小标宋_GBK" w:eastAsia="方正小标宋_GBK" w:cs="方正小标宋_GBK"/>
          <w:bCs/>
          <w:sz w:val="30"/>
          <w:szCs w:val="30"/>
          <w:lang w:val="en-US" w:eastAsia="zh-CN"/>
        </w:rPr>
        <w:t>动态干扰电治疗仪1项目</w:t>
      </w:r>
      <w:r>
        <w:rPr>
          <w:rFonts w:hint="eastAsia" w:ascii="方正小标宋_GBK" w:hAnsi="方正小标宋_GBK" w:eastAsia="方正小标宋_GBK" w:cs="方正小标宋_GBK"/>
          <w:bCs/>
          <w:sz w:val="30"/>
          <w:szCs w:val="30"/>
        </w:rPr>
        <w:t>）</w:t>
      </w:r>
    </w:p>
    <w:p w14:paraId="33894206">
      <w:pPr>
        <w:spacing w:line="560" w:lineRule="exact"/>
        <w:jc w:val="center"/>
        <w:rPr>
          <w:rFonts w:hint="eastAsia" w:ascii="方正小标宋_GBK" w:hAnsi="方正小标宋_GBK" w:eastAsia="方正小标宋_GBK" w:cs="方正小标宋_GBK"/>
          <w:bCs/>
          <w:sz w:val="30"/>
          <w:szCs w:val="30"/>
          <w:lang w:val="en-US" w:eastAsia="zh-CN"/>
        </w:rPr>
      </w:pPr>
      <w:bookmarkStart w:id="0" w:name="_Toc465084019"/>
    </w:p>
    <w:p w14:paraId="737E74AB">
      <w:pPr>
        <w:adjustRightInd w:val="0"/>
        <w:snapToGrid w:val="0"/>
        <w:spacing w:line="240" w:lineRule="auto"/>
        <w:ind w:firstLine="482" w:firstLineChars="200"/>
        <w:rPr>
          <w:rFonts w:hint="default" w:ascii="方正仿宋_GBK" w:hAnsi="方正仿宋_GBK" w:eastAsia="方正仿宋_GBK" w:cs="方正仿宋_GBK"/>
          <w:b/>
          <w:bCs/>
          <w:color w:val="auto"/>
          <w:sz w:val="24"/>
          <w:szCs w:val="24"/>
          <w:lang w:val="en-US" w:eastAsia="zh-CN"/>
        </w:rPr>
      </w:pPr>
      <w:r>
        <w:rPr>
          <w:rFonts w:hint="eastAsia" w:ascii="方正仿宋_GBK" w:hAnsi="方正仿宋_GBK" w:eastAsia="方正仿宋_GBK" w:cs="方正仿宋_GBK"/>
          <w:b/>
          <w:bCs/>
          <w:color w:val="auto"/>
          <w:sz w:val="24"/>
          <w:szCs w:val="24"/>
          <w:lang w:val="en-US" w:eastAsia="zh-CN"/>
        </w:rPr>
        <w:t>一、项目名称：</w:t>
      </w:r>
      <w:r>
        <w:rPr>
          <w:rFonts w:hint="eastAsia" w:ascii="方正仿宋_GBK" w:hAnsi="方正仿宋_GBK" w:eastAsia="方正仿宋_GBK" w:cs="方正仿宋_GBK"/>
          <w:b w:val="0"/>
          <w:bCs w:val="0"/>
          <w:color w:val="auto"/>
          <w:sz w:val="24"/>
          <w:szCs w:val="24"/>
          <w:lang w:val="en-US" w:eastAsia="zh-CN"/>
        </w:rPr>
        <w:t>动态干扰电治疗仪1项目</w:t>
      </w:r>
    </w:p>
    <w:p w14:paraId="5E164AFD">
      <w:pPr>
        <w:adjustRightInd w:val="0"/>
        <w:snapToGrid w:val="0"/>
        <w:spacing w:line="240" w:lineRule="auto"/>
        <w:ind w:firstLine="482" w:firstLineChars="200"/>
        <w:rPr>
          <w:rFonts w:hint="default" w:ascii="方正仿宋_GBK" w:hAnsi="方正仿宋_GBK" w:eastAsia="方正仿宋_GBK" w:cs="方正仿宋_GBK"/>
          <w:b/>
          <w:bCs/>
          <w:color w:val="auto"/>
          <w:sz w:val="24"/>
          <w:szCs w:val="24"/>
          <w:lang w:val="en-US" w:eastAsia="zh-CN"/>
        </w:rPr>
      </w:pPr>
      <w:r>
        <w:rPr>
          <w:rFonts w:hint="eastAsia" w:ascii="方正仿宋_GBK" w:hAnsi="方正仿宋_GBK" w:eastAsia="方正仿宋_GBK" w:cs="方正仿宋_GBK"/>
          <w:b/>
          <w:bCs/>
          <w:color w:val="auto"/>
          <w:sz w:val="24"/>
          <w:szCs w:val="24"/>
          <w:lang w:val="en-US" w:eastAsia="zh-CN"/>
        </w:rPr>
        <w:t>二、项目编号：</w:t>
      </w:r>
      <w:r>
        <w:rPr>
          <w:rFonts w:hint="eastAsia" w:ascii="方正仿宋_GBK" w:hAnsi="方正仿宋_GBK" w:eastAsia="方正仿宋_GBK" w:cs="方正仿宋_GBK"/>
          <w:b w:val="0"/>
          <w:bCs w:val="0"/>
          <w:color w:val="auto"/>
          <w:sz w:val="24"/>
          <w:szCs w:val="24"/>
          <w:lang w:val="en-US" w:eastAsia="zh-CN"/>
        </w:rPr>
        <w:t>CYKF-S2026042</w:t>
      </w:r>
    </w:p>
    <w:p w14:paraId="624C8E8C">
      <w:pPr>
        <w:adjustRightInd w:val="0"/>
        <w:snapToGrid w:val="0"/>
        <w:spacing w:line="240" w:lineRule="auto"/>
        <w:ind w:firstLine="482"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b/>
          <w:bCs/>
          <w:color w:val="auto"/>
          <w:sz w:val="24"/>
          <w:szCs w:val="24"/>
          <w:lang w:val="en-US" w:eastAsia="zh-CN"/>
        </w:rPr>
        <w:t>三、项目内容</w:t>
      </w:r>
      <w:bookmarkEnd w:id="0"/>
      <w:r>
        <w:rPr>
          <w:rFonts w:hint="eastAsia" w:ascii="方正仿宋_GBK" w:hAnsi="方正仿宋_GBK" w:eastAsia="方正仿宋_GBK" w:cs="方正仿宋_GBK"/>
          <w:b/>
          <w:bCs/>
          <w:color w:val="auto"/>
          <w:sz w:val="24"/>
          <w:szCs w:val="24"/>
          <w:lang w:val="en-US" w:eastAsia="zh-CN"/>
        </w:rPr>
        <w:t>：</w:t>
      </w:r>
    </w:p>
    <w:tbl>
      <w:tblPr>
        <w:tblStyle w:val="7"/>
        <w:tblW w:w="541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5"/>
        <w:gridCol w:w="712"/>
        <w:gridCol w:w="832"/>
        <w:gridCol w:w="1215"/>
        <w:gridCol w:w="1507"/>
        <w:gridCol w:w="1640"/>
        <w:gridCol w:w="1673"/>
      </w:tblGrid>
      <w:tr w14:paraId="5BE1D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896" w:type="pct"/>
            <w:tcBorders>
              <w:top w:val="single" w:color="auto" w:sz="4" w:space="0"/>
              <w:left w:val="single" w:color="auto" w:sz="4" w:space="0"/>
              <w:right w:val="single" w:color="auto" w:sz="4" w:space="0"/>
            </w:tcBorders>
            <w:noWrap w:val="0"/>
            <w:vAlign w:val="center"/>
          </w:tcPr>
          <w:p w14:paraId="209C0E44">
            <w:pPr>
              <w:tabs>
                <w:tab w:val="left" w:pos="720"/>
              </w:tabs>
              <w:adjustRightInd w:val="0"/>
              <w:snapToGrid w:val="0"/>
              <w:spacing w:line="240" w:lineRule="auto"/>
              <w:jc w:val="cente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项目内容</w:t>
            </w:r>
          </w:p>
        </w:tc>
        <w:tc>
          <w:tcPr>
            <w:tcW w:w="385" w:type="pct"/>
            <w:tcBorders>
              <w:top w:val="single" w:color="auto" w:sz="4" w:space="0"/>
              <w:left w:val="single" w:color="auto" w:sz="4" w:space="0"/>
              <w:right w:val="single" w:color="auto" w:sz="4" w:space="0"/>
            </w:tcBorders>
            <w:noWrap w:val="0"/>
            <w:vAlign w:val="center"/>
          </w:tcPr>
          <w:p w14:paraId="01F403D2">
            <w:pPr>
              <w:tabs>
                <w:tab w:val="left" w:pos="720"/>
              </w:tabs>
              <w:adjustRightInd w:val="0"/>
              <w:snapToGrid w:val="0"/>
              <w:spacing w:line="240" w:lineRule="auto"/>
              <w:jc w:val="cente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数量</w:t>
            </w:r>
          </w:p>
        </w:tc>
        <w:tc>
          <w:tcPr>
            <w:tcW w:w="450" w:type="pct"/>
            <w:tcBorders>
              <w:top w:val="single" w:color="auto" w:sz="4" w:space="0"/>
              <w:left w:val="single" w:color="auto" w:sz="4" w:space="0"/>
              <w:right w:val="single" w:color="auto" w:sz="4" w:space="0"/>
            </w:tcBorders>
            <w:noWrap w:val="0"/>
            <w:vAlign w:val="center"/>
          </w:tcPr>
          <w:p w14:paraId="4D2906BA">
            <w:pPr>
              <w:tabs>
                <w:tab w:val="left" w:pos="720"/>
              </w:tabs>
              <w:adjustRightInd w:val="0"/>
              <w:snapToGrid w:val="0"/>
              <w:spacing w:line="240" w:lineRule="auto"/>
              <w:jc w:val="center"/>
              <w:rPr>
                <w:rFonts w:hint="default"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单位</w:t>
            </w:r>
          </w:p>
        </w:tc>
        <w:tc>
          <w:tcPr>
            <w:tcW w:w="657" w:type="pct"/>
            <w:tcBorders>
              <w:top w:val="single" w:color="auto" w:sz="4" w:space="0"/>
              <w:left w:val="single" w:color="auto" w:sz="4" w:space="0"/>
              <w:right w:val="single" w:color="auto" w:sz="4" w:space="0"/>
            </w:tcBorders>
            <w:noWrap w:val="0"/>
            <w:vAlign w:val="center"/>
          </w:tcPr>
          <w:p w14:paraId="555C9D9E">
            <w:pPr>
              <w:tabs>
                <w:tab w:val="left" w:pos="720"/>
              </w:tabs>
              <w:adjustRightInd w:val="0"/>
              <w:snapToGrid w:val="0"/>
              <w:spacing w:line="240" w:lineRule="auto"/>
              <w:jc w:val="cente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预算金额</w:t>
            </w:r>
          </w:p>
          <w:p w14:paraId="06542520">
            <w:pPr>
              <w:tabs>
                <w:tab w:val="left" w:pos="720"/>
              </w:tabs>
              <w:adjustRightInd w:val="0"/>
              <w:snapToGrid w:val="0"/>
              <w:spacing w:line="240" w:lineRule="auto"/>
              <w:jc w:val="cente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（万元）</w:t>
            </w:r>
          </w:p>
        </w:tc>
        <w:tc>
          <w:tcPr>
            <w:tcW w:w="815" w:type="pct"/>
            <w:tcBorders>
              <w:top w:val="single" w:color="auto" w:sz="4" w:space="0"/>
              <w:left w:val="single" w:color="auto" w:sz="4" w:space="0"/>
              <w:right w:val="single" w:color="auto" w:sz="4" w:space="0"/>
            </w:tcBorders>
            <w:noWrap w:val="0"/>
            <w:vAlign w:val="center"/>
          </w:tcPr>
          <w:p w14:paraId="190834B5">
            <w:pPr>
              <w:tabs>
                <w:tab w:val="left" w:pos="720"/>
              </w:tabs>
              <w:adjustRightInd w:val="0"/>
              <w:snapToGrid w:val="0"/>
              <w:spacing w:line="240" w:lineRule="auto"/>
              <w:jc w:val="cente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投标保证金（元）</w:t>
            </w:r>
          </w:p>
        </w:tc>
        <w:tc>
          <w:tcPr>
            <w:tcW w:w="887" w:type="pct"/>
            <w:tcBorders>
              <w:top w:val="single" w:color="auto" w:sz="4" w:space="0"/>
              <w:left w:val="single" w:color="auto" w:sz="4" w:space="0"/>
              <w:right w:val="single" w:color="auto" w:sz="4" w:space="0"/>
            </w:tcBorders>
            <w:noWrap w:val="0"/>
            <w:vAlign w:val="center"/>
          </w:tcPr>
          <w:p w14:paraId="3D06D976">
            <w:pPr>
              <w:tabs>
                <w:tab w:val="left" w:pos="720"/>
              </w:tabs>
              <w:adjustRightInd w:val="0"/>
              <w:snapToGrid w:val="0"/>
              <w:spacing w:line="240" w:lineRule="auto"/>
              <w:jc w:val="cente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成交供应商（名）</w:t>
            </w:r>
          </w:p>
        </w:tc>
        <w:tc>
          <w:tcPr>
            <w:tcW w:w="905" w:type="pct"/>
            <w:tcBorders>
              <w:top w:val="single" w:color="auto" w:sz="4" w:space="0"/>
              <w:left w:val="single" w:color="auto" w:sz="4" w:space="0"/>
              <w:right w:val="single" w:color="auto" w:sz="4" w:space="0"/>
            </w:tcBorders>
            <w:noWrap w:val="0"/>
            <w:vAlign w:val="center"/>
          </w:tcPr>
          <w:p w14:paraId="2473EE1F">
            <w:pPr>
              <w:tabs>
                <w:tab w:val="left" w:pos="720"/>
              </w:tabs>
              <w:adjustRightInd w:val="0"/>
              <w:snapToGrid w:val="0"/>
              <w:spacing w:line="240" w:lineRule="auto"/>
              <w:jc w:val="center"/>
              <w:rPr>
                <w:rFonts w:hint="default"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备注</w:t>
            </w:r>
          </w:p>
        </w:tc>
      </w:tr>
      <w:tr w14:paraId="222D3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4" w:hRule="atLeast"/>
          <w:jc w:val="center"/>
        </w:trPr>
        <w:tc>
          <w:tcPr>
            <w:tcW w:w="896" w:type="pct"/>
            <w:tcBorders>
              <w:top w:val="single" w:color="auto" w:sz="4" w:space="0"/>
              <w:left w:val="single" w:color="auto" w:sz="4" w:space="0"/>
              <w:bottom w:val="single" w:color="auto" w:sz="4" w:space="0"/>
              <w:right w:val="single" w:color="auto" w:sz="4" w:space="0"/>
            </w:tcBorders>
            <w:noWrap w:val="0"/>
            <w:vAlign w:val="center"/>
          </w:tcPr>
          <w:p w14:paraId="6367D64D">
            <w:pPr>
              <w:adjustRightInd w:val="0"/>
              <w:snapToGrid w:val="0"/>
              <w:spacing w:line="240" w:lineRule="auto"/>
              <w:jc w:val="center"/>
              <w:rPr>
                <w:rFonts w:hint="default" w:ascii="方正仿宋_GBK" w:hAnsi="方正仿宋_GBK" w:eastAsia="方正仿宋_GBK" w:cs="方正仿宋_GBK"/>
                <w:color w:val="000000" w:themeColor="text1"/>
                <w:sz w:val="24"/>
                <w:szCs w:val="24"/>
                <w:u w:val="none"/>
                <w:lang w:val="en-US" w:eastAsia="zh-CN"/>
                <w14:textFill>
                  <w14:solidFill>
                    <w14:schemeClr w14:val="tx1"/>
                  </w14:solidFill>
                </w14:textFill>
              </w:rPr>
            </w:pPr>
            <w:r>
              <w:rPr>
                <w:rFonts w:hint="eastAsia" w:ascii="方正仿宋_GBK" w:hAnsi="方正仿宋_GBK" w:eastAsia="方正仿宋_GBK" w:cs="方正仿宋_GBK"/>
                <w:b w:val="0"/>
                <w:bCs w:val="0"/>
                <w:color w:val="auto"/>
                <w:sz w:val="24"/>
                <w:szCs w:val="24"/>
                <w:lang w:val="en-US" w:eastAsia="zh-CN"/>
              </w:rPr>
              <w:t>动态干扰电治疗仪1</w:t>
            </w:r>
          </w:p>
        </w:tc>
        <w:tc>
          <w:tcPr>
            <w:tcW w:w="7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D58FA2C">
            <w:pPr>
              <w:pageBreakBefore w:val="0"/>
              <w:kinsoku/>
              <w:overflowPunct/>
              <w:topLinePunct w:val="0"/>
              <w:bidi w:val="0"/>
              <w:spacing w:line="360" w:lineRule="exact"/>
              <w:jc w:val="center"/>
              <w:textAlignment w:val="auto"/>
              <w:rPr>
                <w:rFonts w:hint="default" w:ascii="方正仿宋_GBK" w:hAnsi="方正仿宋_GBK" w:eastAsia="方正仿宋_GBK" w:cs="方正仿宋_GBK"/>
                <w:color w:val="000000" w:themeColor="text1"/>
                <w:kern w:val="2"/>
                <w:sz w:val="24"/>
                <w:szCs w:val="24"/>
                <w:u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sz w:val="24"/>
                <w:szCs w:val="24"/>
                <w:u w:val="none"/>
                <w:lang w:val="en-US" w:eastAsia="zh-CN"/>
                <w14:textFill>
                  <w14:solidFill>
                    <w14:schemeClr w14:val="tx1"/>
                  </w14:solidFill>
                </w14:textFill>
              </w:rPr>
              <w:t>3</w:t>
            </w:r>
          </w:p>
        </w:tc>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742C16D">
            <w:pPr>
              <w:pageBreakBefore w:val="0"/>
              <w:kinsoku/>
              <w:overflowPunct/>
              <w:topLinePunct w:val="0"/>
              <w:bidi w:val="0"/>
              <w:spacing w:line="360" w:lineRule="exact"/>
              <w:jc w:val="center"/>
              <w:textAlignment w:val="auto"/>
              <w:rPr>
                <w:rFonts w:hint="default" w:ascii="方正仿宋_GBK" w:hAnsi="方正仿宋_GBK" w:eastAsia="方正仿宋_GBK" w:cs="方正仿宋_GBK"/>
                <w:color w:val="000000" w:themeColor="text1"/>
                <w:kern w:val="2"/>
                <w:sz w:val="24"/>
                <w:szCs w:val="24"/>
                <w:u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sz w:val="24"/>
                <w:szCs w:val="24"/>
                <w:u w:val="none"/>
                <w:lang w:val="en-US" w:eastAsia="zh-CN"/>
                <w14:textFill>
                  <w14:solidFill>
                    <w14:schemeClr w14:val="tx1"/>
                  </w14:solidFill>
                </w14:textFill>
              </w:rPr>
              <w:t>台</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91CE201">
            <w:pPr>
              <w:pageBreakBefore w:val="0"/>
              <w:kinsoku/>
              <w:overflowPunct/>
              <w:topLinePunct w:val="0"/>
              <w:bidi w:val="0"/>
              <w:spacing w:line="360" w:lineRule="exact"/>
              <w:jc w:val="center"/>
              <w:textAlignment w:val="auto"/>
              <w:rPr>
                <w:rFonts w:hint="default" w:ascii="方正仿宋_GBK" w:hAnsi="方正仿宋_GBK" w:eastAsia="方正仿宋_GBK" w:cs="方正仿宋_GBK"/>
                <w:color w:val="000000" w:themeColor="text1"/>
                <w:kern w:val="2"/>
                <w:sz w:val="24"/>
                <w:szCs w:val="24"/>
                <w:u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sz w:val="24"/>
                <w:szCs w:val="24"/>
                <w:u w:val="none"/>
                <w:lang w:val="en-US" w:eastAsia="zh-CN"/>
                <w14:textFill>
                  <w14:solidFill>
                    <w14:schemeClr w14:val="tx1"/>
                  </w14:solidFill>
                </w14:textFill>
              </w:rPr>
              <w:t>20.10</w:t>
            </w:r>
          </w:p>
        </w:tc>
        <w:tc>
          <w:tcPr>
            <w:tcW w:w="1507" w:type="dxa"/>
            <w:tcBorders>
              <w:top w:val="single" w:color="auto" w:sz="4" w:space="0"/>
              <w:left w:val="single" w:color="auto" w:sz="4" w:space="0"/>
              <w:right w:val="single" w:color="auto" w:sz="4" w:space="0"/>
            </w:tcBorders>
            <w:shd w:val="clear" w:color="auto" w:fill="auto"/>
            <w:noWrap w:val="0"/>
            <w:vAlign w:val="center"/>
          </w:tcPr>
          <w:p w14:paraId="1BBDCD8B">
            <w:pPr>
              <w:pageBreakBefore w:val="0"/>
              <w:kinsoku/>
              <w:overflowPunct/>
              <w:topLinePunct w:val="0"/>
              <w:bidi w:val="0"/>
              <w:spacing w:line="360" w:lineRule="exact"/>
              <w:jc w:val="center"/>
              <w:textAlignment w:val="auto"/>
              <w:rPr>
                <w:rFonts w:hint="default" w:ascii="方正仿宋_GBK" w:hAnsi="方正仿宋_GBK" w:eastAsia="方正仿宋_GBK" w:cs="方正仿宋_GBK"/>
                <w:color w:val="000000" w:themeColor="text1"/>
                <w:kern w:val="2"/>
                <w:sz w:val="24"/>
                <w:szCs w:val="24"/>
                <w:u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sz w:val="24"/>
                <w:szCs w:val="24"/>
                <w:u w:val="none"/>
                <w:lang w:val="en-US" w:eastAsia="zh-CN"/>
                <w14:textFill>
                  <w14:solidFill>
                    <w14:schemeClr w14:val="tx1"/>
                  </w14:solidFill>
                </w14:textFill>
              </w:rPr>
              <w:t>4000.00</w:t>
            </w:r>
          </w:p>
        </w:tc>
        <w:tc>
          <w:tcPr>
            <w:tcW w:w="1640" w:type="dxa"/>
            <w:tcBorders>
              <w:top w:val="single" w:color="auto" w:sz="4" w:space="0"/>
              <w:left w:val="single" w:color="auto" w:sz="4" w:space="0"/>
              <w:right w:val="single" w:color="auto" w:sz="4" w:space="0"/>
            </w:tcBorders>
            <w:shd w:val="clear" w:color="auto" w:fill="auto"/>
            <w:noWrap w:val="0"/>
            <w:vAlign w:val="center"/>
          </w:tcPr>
          <w:p w14:paraId="7C9FBBB5">
            <w:pPr>
              <w:pageBreakBefore w:val="0"/>
              <w:numPr>
                <w:ilvl w:val="0"/>
                <w:numId w:val="0"/>
              </w:numPr>
              <w:kinsoku/>
              <w:overflowPunct/>
              <w:topLinePunct w:val="0"/>
              <w:bidi w:val="0"/>
              <w:spacing w:line="360" w:lineRule="exact"/>
              <w:ind w:left="0" w:leftChars="0" w:firstLine="0" w:firstLineChars="0"/>
              <w:jc w:val="center"/>
              <w:textAlignment w:val="auto"/>
              <w:rPr>
                <w:rFonts w:hint="default" w:ascii="方正仿宋_GBK" w:hAnsi="方正仿宋_GBK" w:eastAsia="方正仿宋_GBK" w:cs="方正仿宋_GBK"/>
                <w:b w:val="0"/>
                <w:bCs w:val="0"/>
                <w:color w:val="000000" w:themeColor="text1"/>
                <w:kern w:val="2"/>
                <w:sz w:val="28"/>
                <w:szCs w:val="28"/>
                <w:highlight w:val="none"/>
                <w:lang w:val="en-US" w:eastAsia="zh-CN" w:bidi="ar-SA"/>
                <w14:textFill>
                  <w14:solidFill>
                    <w14:schemeClr w14:val="tx1"/>
                  </w14:solidFill>
                </w14:textFill>
              </w:rPr>
            </w:pPr>
            <w:r>
              <w:rPr>
                <w:rFonts w:hint="eastAsia" w:ascii="方正仿宋_GBK" w:hAnsi="方正仿宋_GBK" w:eastAsia="方正仿宋_GBK" w:cs="方正仿宋_GBK"/>
                <w:b w:val="0"/>
                <w:bCs w:val="0"/>
                <w:color w:val="000000" w:themeColor="text1"/>
                <w:kern w:val="2"/>
                <w:sz w:val="28"/>
                <w:szCs w:val="28"/>
                <w:highlight w:val="none"/>
                <w:lang w:val="en-US" w:eastAsia="zh-CN" w:bidi="ar-SA"/>
                <w14:textFill>
                  <w14:solidFill>
                    <w14:schemeClr w14:val="tx1"/>
                  </w14:solidFill>
                </w14:textFill>
              </w:rPr>
              <w:t>1</w:t>
            </w:r>
          </w:p>
        </w:tc>
        <w:tc>
          <w:tcPr>
            <w:tcW w:w="905" w:type="pct"/>
            <w:tcBorders>
              <w:top w:val="single" w:color="auto" w:sz="4" w:space="0"/>
              <w:left w:val="single" w:color="auto" w:sz="4" w:space="0"/>
              <w:right w:val="single" w:color="auto" w:sz="4" w:space="0"/>
            </w:tcBorders>
            <w:shd w:val="clear" w:color="auto" w:fill="auto"/>
            <w:noWrap w:val="0"/>
            <w:vAlign w:val="center"/>
          </w:tcPr>
          <w:p w14:paraId="70C54CE1">
            <w:pPr>
              <w:pageBreakBefore w:val="0"/>
              <w:tabs>
                <w:tab w:val="left" w:pos="720"/>
              </w:tabs>
              <w:kinsoku/>
              <w:overflowPunct/>
              <w:topLinePunct w:val="0"/>
              <w:bidi w:val="0"/>
              <w:adjustRightInd w:val="0"/>
              <w:snapToGrid w:val="0"/>
              <w:spacing w:line="360" w:lineRule="exact"/>
              <w:jc w:val="center"/>
              <w:textAlignment w:val="auto"/>
              <w:rPr>
                <w:rFonts w:hint="eastAsia" w:ascii="方正仿宋_GBK" w:hAnsi="方正仿宋_GBK" w:eastAsia="方正仿宋_GBK" w:cs="方正仿宋_GBK"/>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产品必须为中国关境内生产，若为进口产品将按无效响应处理。</w:t>
            </w:r>
          </w:p>
        </w:tc>
      </w:tr>
    </w:tbl>
    <w:p w14:paraId="27034AEA">
      <w:pPr>
        <w:tabs>
          <w:tab w:val="left" w:pos="720"/>
        </w:tabs>
        <w:adjustRightInd w:val="0"/>
        <w:snapToGrid w:val="0"/>
        <w:spacing w:line="240" w:lineRule="auto"/>
        <w:ind w:firstLine="482" w:firstLineChars="200"/>
        <w:rPr>
          <w:rFonts w:hint="eastAsia" w:ascii="方正仿宋_GBK" w:hAnsi="方正仿宋_GBK" w:eastAsia="方正仿宋_GBK" w:cs="方正仿宋_GBK"/>
          <w:b/>
          <w:bCs/>
          <w:color w:val="auto"/>
          <w:sz w:val="24"/>
          <w:szCs w:val="24"/>
          <w:lang w:val="en-US" w:eastAsia="zh-CN"/>
        </w:rPr>
      </w:pPr>
      <w:bookmarkStart w:id="1" w:name="_Toc465084020"/>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四、资金来源</w:t>
      </w:r>
      <w:bookmarkEnd w:id="1"/>
    </w:p>
    <w:p w14:paraId="641CDABD">
      <w:pPr>
        <w:adjustRightInd w:val="0"/>
        <w:snapToGrid w:val="0"/>
        <w:spacing w:line="240" w:lineRule="auto"/>
        <w:ind w:firstLine="540" w:firstLineChars="225"/>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医院自筹资金</w:t>
      </w:r>
    </w:p>
    <w:p w14:paraId="41D74B37">
      <w:pPr>
        <w:adjustRightInd w:val="0"/>
        <w:snapToGrid w:val="0"/>
        <w:spacing w:line="240" w:lineRule="auto"/>
        <w:ind w:firstLine="542" w:firstLineChars="225"/>
        <w:rPr>
          <w:rFonts w:hint="eastAsia" w:ascii="方正仿宋_GBK" w:hAnsi="方正仿宋_GBK" w:eastAsia="方正仿宋_GBK" w:cs="方正仿宋_GBK"/>
          <w:b/>
          <w:bCs/>
          <w:color w:val="auto"/>
          <w:sz w:val="24"/>
          <w:szCs w:val="24"/>
          <w:lang w:val="en-US" w:eastAsia="zh-CN"/>
        </w:rPr>
      </w:pPr>
      <w:r>
        <w:rPr>
          <w:rFonts w:hint="eastAsia" w:ascii="方正仿宋_GBK" w:hAnsi="方正仿宋_GBK" w:eastAsia="方正仿宋_GBK" w:cs="方正仿宋_GBK"/>
          <w:b/>
          <w:bCs/>
          <w:color w:val="auto"/>
          <w:sz w:val="24"/>
          <w:szCs w:val="24"/>
          <w:lang w:val="en-US" w:eastAsia="zh-CN"/>
        </w:rPr>
        <w:t>五、采购方式</w:t>
      </w:r>
    </w:p>
    <w:p w14:paraId="72BA82E4">
      <w:pPr>
        <w:adjustRightInd w:val="0"/>
        <w:snapToGrid w:val="0"/>
        <w:spacing w:line="240" w:lineRule="auto"/>
        <w:ind w:firstLine="540" w:firstLineChars="225"/>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自主采购——院内竞争性谈判</w:t>
      </w:r>
      <w:bookmarkStart w:id="2" w:name="_Toc465084021"/>
    </w:p>
    <w:p w14:paraId="64DBB537">
      <w:pPr>
        <w:adjustRightInd w:val="0"/>
        <w:snapToGrid w:val="0"/>
        <w:spacing w:line="240" w:lineRule="auto"/>
        <w:ind w:firstLine="542" w:firstLineChars="225"/>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六、供应商资格要</w:t>
      </w:r>
      <w:bookmarkEnd w:id="2"/>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求</w:t>
      </w:r>
    </w:p>
    <w:p w14:paraId="58247592">
      <w:pPr>
        <w:pageBreakBefore w:val="0"/>
        <w:kinsoku/>
        <w:overflowPunct/>
        <w:topLinePunct w:val="0"/>
        <w:bidi w:val="0"/>
        <w:adjustRightInd w:val="0"/>
        <w:snapToGrid w:val="0"/>
        <w:spacing w:line="360" w:lineRule="exact"/>
        <w:ind w:firstLine="542" w:firstLineChars="225"/>
        <w:textAlignment w:val="auto"/>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（一）基本资格条件</w:t>
      </w:r>
    </w:p>
    <w:p w14:paraId="1C01AF50">
      <w:pPr>
        <w:pageBreakBefore w:val="0"/>
        <w:tabs>
          <w:tab w:val="left" w:pos="720"/>
        </w:tabs>
        <w:kinsoku/>
        <w:overflowPunct/>
        <w:topLinePunct w:val="0"/>
        <w:bidi w:val="0"/>
        <w:adjustRightInd w:val="0"/>
        <w:snapToGrid w:val="0"/>
        <w:spacing w:line="360" w:lineRule="exact"/>
        <w:ind w:firstLine="480"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1.具有独立承担民事责任的能力；</w:t>
      </w:r>
    </w:p>
    <w:p w14:paraId="7374CF30">
      <w:pPr>
        <w:pageBreakBefore w:val="0"/>
        <w:tabs>
          <w:tab w:val="left" w:pos="720"/>
        </w:tabs>
        <w:kinsoku/>
        <w:overflowPunct/>
        <w:topLinePunct w:val="0"/>
        <w:bidi w:val="0"/>
        <w:adjustRightInd w:val="0"/>
        <w:snapToGrid w:val="0"/>
        <w:spacing w:line="360" w:lineRule="exact"/>
        <w:ind w:firstLine="480"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2.具有良好的商业信誉和健全的财务会计制度；</w:t>
      </w:r>
    </w:p>
    <w:p w14:paraId="40F681B6">
      <w:pPr>
        <w:pageBreakBefore w:val="0"/>
        <w:tabs>
          <w:tab w:val="left" w:pos="720"/>
        </w:tabs>
        <w:kinsoku/>
        <w:overflowPunct/>
        <w:topLinePunct w:val="0"/>
        <w:bidi w:val="0"/>
        <w:adjustRightInd w:val="0"/>
        <w:snapToGrid w:val="0"/>
        <w:spacing w:line="360" w:lineRule="exact"/>
        <w:ind w:firstLine="480"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3.具有履行合同所必需的设备和专业技术能力；</w:t>
      </w:r>
    </w:p>
    <w:p w14:paraId="748F0EEC">
      <w:pPr>
        <w:pageBreakBefore w:val="0"/>
        <w:tabs>
          <w:tab w:val="left" w:pos="720"/>
        </w:tabs>
        <w:kinsoku/>
        <w:overflowPunct/>
        <w:topLinePunct w:val="0"/>
        <w:bidi w:val="0"/>
        <w:adjustRightInd w:val="0"/>
        <w:snapToGrid w:val="0"/>
        <w:spacing w:line="360" w:lineRule="exact"/>
        <w:ind w:firstLine="480"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4.有依法缴纳税收和社会保障资金的良好记录；</w:t>
      </w:r>
    </w:p>
    <w:p w14:paraId="5CD0A9EC">
      <w:pPr>
        <w:pageBreakBefore w:val="0"/>
        <w:tabs>
          <w:tab w:val="left" w:pos="720"/>
        </w:tabs>
        <w:kinsoku/>
        <w:overflowPunct/>
        <w:topLinePunct w:val="0"/>
        <w:bidi w:val="0"/>
        <w:adjustRightInd w:val="0"/>
        <w:snapToGrid w:val="0"/>
        <w:spacing w:line="360" w:lineRule="exact"/>
        <w:ind w:firstLine="480"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5.参加此采购活动前三年内，在经营活动中没有重大违法记录；</w:t>
      </w:r>
    </w:p>
    <w:p w14:paraId="4DE3C4D2">
      <w:pPr>
        <w:pageBreakBefore w:val="0"/>
        <w:tabs>
          <w:tab w:val="left" w:pos="720"/>
        </w:tabs>
        <w:kinsoku/>
        <w:overflowPunct/>
        <w:topLinePunct w:val="0"/>
        <w:bidi w:val="0"/>
        <w:adjustRightInd w:val="0"/>
        <w:snapToGrid w:val="0"/>
        <w:spacing w:line="360" w:lineRule="exact"/>
        <w:ind w:firstLine="480"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6.符合法律、法规规定的其他条件。</w:t>
      </w:r>
    </w:p>
    <w:p w14:paraId="441FE99E">
      <w:pPr>
        <w:pageBreakBefore w:val="0"/>
        <w:kinsoku/>
        <w:overflowPunct/>
        <w:topLinePunct w:val="0"/>
        <w:bidi w:val="0"/>
        <w:adjustRightInd w:val="0"/>
        <w:snapToGrid w:val="0"/>
        <w:spacing w:line="360" w:lineRule="exact"/>
        <w:ind w:firstLine="542" w:firstLineChars="225"/>
        <w:textAlignment w:val="auto"/>
        <w:rPr>
          <w:rFonts w:hint="eastAsia"/>
          <w:color w:val="000000" w:themeColor="text1"/>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 xml:space="preserve">（二）特定资格条件 </w:t>
      </w:r>
    </w:p>
    <w:p w14:paraId="34B01159">
      <w:pPr>
        <w:pageBreakBefore w:val="0"/>
        <w:kinsoku/>
        <w:overflowPunct/>
        <w:topLinePunct w:val="0"/>
        <w:bidi w:val="0"/>
        <w:spacing w:line="360" w:lineRule="exact"/>
        <w:ind w:firstLine="482" w:firstLineChars="200"/>
        <w:textAlignment w:val="auto"/>
        <w:rPr>
          <w:rFonts w:hint="eastAsia" w:ascii="方正仿宋_GBK" w:hAnsi="方正仿宋_GBK" w:eastAsia="方正仿宋_GBK" w:cs="方正仿宋_GBK"/>
          <w:b/>
          <w:bCs/>
          <w:color w:val="000000" w:themeColor="text1"/>
          <w:sz w:val="24"/>
          <w:highlight w:val="none"/>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highlight w:val="none"/>
          <w:lang w:val="en-US" w:eastAsia="zh-CN"/>
          <w14:textFill>
            <w14:solidFill>
              <w14:schemeClr w14:val="tx1"/>
            </w14:solidFill>
          </w14:textFill>
        </w:rPr>
        <w:t>1.</w:t>
      </w:r>
      <w:r>
        <w:rPr>
          <w:rFonts w:hint="eastAsia" w:ascii="方正仿宋_GBK" w:hAnsi="方正仿宋_GBK" w:eastAsia="方正仿宋_GBK" w:cs="方正仿宋_GBK"/>
          <w:b/>
          <w:bCs/>
          <w:color w:val="000000" w:themeColor="text1"/>
          <w:sz w:val="24"/>
          <w:highlight w:val="none"/>
          <w14:textFill>
            <w14:solidFill>
              <w14:schemeClr w14:val="tx1"/>
            </w14:solidFill>
          </w14:textFill>
        </w:rPr>
        <w:t>投标人</w:t>
      </w:r>
      <w:r>
        <w:rPr>
          <w:rFonts w:hint="eastAsia" w:ascii="方正仿宋_GBK" w:hAnsi="方正仿宋_GBK" w:eastAsia="方正仿宋_GBK" w:cs="方正仿宋_GBK"/>
          <w:b/>
          <w:bCs/>
          <w:color w:val="000000" w:themeColor="text1"/>
          <w:sz w:val="24"/>
          <w:highlight w:val="none"/>
          <w:lang w:val="en-US" w:eastAsia="zh-CN"/>
          <w14:textFill>
            <w14:solidFill>
              <w14:schemeClr w14:val="tx1"/>
            </w14:solidFill>
          </w14:textFill>
        </w:rPr>
        <w:t>若是所投产品的制造商：</w:t>
      </w:r>
    </w:p>
    <w:p w14:paraId="652B66ED">
      <w:pPr>
        <w:pageBreakBefore w:val="0"/>
        <w:kinsoku/>
        <w:overflowPunct/>
        <w:topLinePunct w:val="0"/>
        <w:bidi w:val="0"/>
        <w:spacing w:line="360" w:lineRule="exact"/>
        <w:ind w:firstLine="480" w:firstLineChars="200"/>
        <w:textAlignment w:val="auto"/>
        <w:rPr>
          <w:rFonts w:hint="eastAsia" w:ascii="方正仿宋_GBK" w:hAnsi="方正仿宋_GBK" w:eastAsia="方正仿宋_GBK" w:cs="方正仿宋_GBK"/>
          <w:b w:val="0"/>
          <w:bCs w:val="0"/>
          <w:strike w:val="0"/>
          <w:dstrike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1.1</w:t>
      </w:r>
      <w:r>
        <w:rPr>
          <w:rFonts w:hint="eastAsia" w:ascii="方正仿宋_GBK" w:hAnsi="方正仿宋_GBK" w:eastAsia="方正仿宋_GBK" w:cs="方正仿宋_GBK"/>
          <w:color w:val="000000" w:themeColor="text1"/>
          <w:sz w:val="24"/>
          <w:highlight w:val="none"/>
          <w14:textFill>
            <w14:solidFill>
              <w14:schemeClr w14:val="tx1"/>
            </w14:solidFill>
          </w14:textFill>
        </w:rPr>
        <w:t>所投产品属于第</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一</w:t>
      </w:r>
      <w:r>
        <w:rPr>
          <w:rFonts w:hint="eastAsia" w:ascii="方正仿宋_GBK" w:hAnsi="方正仿宋_GBK" w:eastAsia="方正仿宋_GBK" w:cs="方正仿宋_GBK"/>
          <w:color w:val="000000" w:themeColor="text1"/>
          <w:sz w:val="24"/>
          <w:highlight w:val="none"/>
          <w14:textFill>
            <w14:solidFill>
              <w14:schemeClr w14:val="tx1"/>
            </w14:solidFill>
          </w14:textFill>
        </w:rPr>
        <w:t>类医疗器械的，应</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具有并提供</w:t>
      </w:r>
      <w:r>
        <w:rPr>
          <w:rFonts w:hint="eastAsia" w:ascii="方正仿宋_GBK" w:hAnsi="方正仿宋_GBK" w:eastAsia="方正仿宋_GBK" w:cs="方正仿宋_GBK"/>
          <w:color w:val="000000" w:themeColor="text1"/>
          <w:sz w:val="24"/>
          <w:highlight w:val="none"/>
          <w14:textFill>
            <w14:solidFill>
              <w14:schemeClr w14:val="tx1"/>
            </w14:solidFill>
          </w14:textFill>
        </w:rPr>
        <w:t>第一类医疗器械生产备案凭证</w:t>
      </w:r>
      <w:r>
        <w:rPr>
          <w:rFonts w:hint="eastAsia" w:ascii="方正仿宋_GBK" w:hAnsi="方正仿宋_GBK" w:eastAsia="方正仿宋_GBK" w:cs="方正仿宋_GBK"/>
          <w:color w:val="000000" w:themeColor="text1"/>
          <w:sz w:val="24"/>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提供复印件</w:t>
      </w:r>
      <w:r>
        <w:rPr>
          <w:rFonts w:hint="eastAsia" w:ascii="方正仿宋_GBK" w:hAnsi="方正仿宋_GBK" w:eastAsia="方正仿宋_GBK" w:cs="方正仿宋_GBK"/>
          <w:b w:val="0"/>
          <w:bCs w:val="0"/>
          <w:strike w:val="0"/>
          <w:dstrike w:val="0"/>
          <w:color w:val="000000" w:themeColor="text1"/>
          <w:sz w:val="24"/>
          <w:szCs w:val="24"/>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24"/>
          <w:highlight w:val="none"/>
          <w14:textFill>
            <w14:solidFill>
              <w14:schemeClr w14:val="tx1"/>
            </w14:solidFill>
          </w14:textFill>
        </w:rPr>
        <w:t>所投产品属于</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第二类</w:t>
      </w:r>
      <w:r>
        <w:rPr>
          <w:rFonts w:hint="eastAsia" w:ascii="方正仿宋_GBK" w:hAnsi="方正仿宋_GBK" w:eastAsia="方正仿宋_GBK" w:cs="方正仿宋_GBK"/>
          <w:strike w:val="0"/>
          <w:dstrike w:val="0"/>
          <w:color w:val="000000" w:themeColor="text1"/>
          <w:sz w:val="24"/>
          <w:highlight w:val="none"/>
          <w:lang w:val="en-US" w:eastAsia="zh-CN"/>
          <w14:textFill>
            <w14:solidFill>
              <w14:schemeClr w14:val="tx1"/>
            </w14:solidFill>
          </w14:textFill>
        </w:rPr>
        <w:t>或</w:t>
      </w:r>
      <w:r>
        <w:rPr>
          <w:rFonts w:hint="eastAsia" w:ascii="方正仿宋_GBK" w:hAnsi="方正仿宋_GBK" w:eastAsia="方正仿宋_GBK" w:cs="方正仿宋_GBK"/>
          <w:color w:val="000000" w:themeColor="text1"/>
          <w:sz w:val="24"/>
          <w:highlight w:val="none"/>
          <w14:textFill>
            <w14:solidFill>
              <w14:schemeClr w14:val="tx1"/>
            </w14:solidFill>
          </w14:textFill>
        </w:rPr>
        <w:t>第三类医疗器械的，应</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具有并提供</w:t>
      </w:r>
      <w:r>
        <w:rPr>
          <w:rFonts w:hint="eastAsia" w:ascii="方正仿宋_GBK" w:hAnsi="方正仿宋_GBK" w:eastAsia="方正仿宋_GBK" w:cs="方正仿宋_GBK"/>
          <w:color w:val="000000" w:themeColor="text1"/>
          <w:sz w:val="24"/>
          <w:highlight w:val="none"/>
          <w14:textFill>
            <w14:solidFill>
              <w14:schemeClr w14:val="tx1"/>
            </w14:solidFill>
          </w14:textFill>
        </w:rPr>
        <w:t>医疗器械</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生产</w:t>
      </w:r>
      <w:r>
        <w:rPr>
          <w:rFonts w:hint="eastAsia" w:ascii="方正仿宋_GBK" w:hAnsi="方正仿宋_GBK" w:eastAsia="方正仿宋_GBK" w:cs="方正仿宋_GBK"/>
          <w:color w:val="000000" w:themeColor="text1"/>
          <w:sz w:val="24"/>
          <w:highlight w:val="none"/>
          <w14:textFill>
            <w14:solidFill>
              <w14:schemeClr w14:val="tx1"/>
            </w14:solidFill>
          </w14:textFill>
        </w:rPr>
        <w:t>许可证</w:t>
      </w:r>
      <w:r>
        <w:rPr>
          <w:rFonts w:hint="eastAsia" w:ascii="方正仿宋_GBK" w:hAnsi="方正仿宋_GBK" w:eastAsia="方正仿宋_GBK" w:cs="方正仿宋_GBK"/>
          <w:color w:val="000000" w:themeColor="text1"/>
          <w:sz w:val="24"/>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提供复印件</w:t>
      </w:r>
      <w:r>
        <w:rPr>
          <w:rFonts w:hint="eastAsia" w:ascii="方正仿宋_GBK" w:hAnsi="方正仿宋_GBK" w:eastAsia="方正仿宋_GBK" w:cs="方正仿宋_GBK"/>
          <w:b w:val="0"/>
          <w:bCs w:val="0"/>
          <w:strike w:val="0"/>
          <w:dstrike w:val="0"/>
          <w:color w:val="000000" w:themeColor="text1"/>
          <w:sz w:val="24"/>
          <w:szCs w:val="24"/>
          <w:lang w:val="en-US" w:eastAsia="zh-CN"/>
          <w14:textFill>
            <w14:solidFill>
              <w14:schemeClr w14:val="tx1"/>
            </w14:solidFill>
          </w14:textFill>
        </w:rPr>
        <w:t>；</w:t>
      </w:r>
    </w:p>
    <w:p w14:paraId="22A70104">
      <w:pPr>
        <w:pageBreakBefore w:val="0"/>
        <w:kinsoku/>
        <w:overflowPunct/>
        <w:topLinePunct w:val="0"/>
        <w:bidi w:val="0"/>
        <w:spacing w:line="360" w:lineRule="exact"/>
        <w:ind w:firstLine="480" w:firstLineChars="200"/>
        <w:textAlignment w:val="auto"/>
        <w:rPr>
          <w:rFonts w:hint="eastAsia"/>
          <w:lang w:val="en-US" w:eastAsia="zh-CN"/>
        </w:rPr>
      </w:pPr>
      <w:r>
        <w:rPr>
          <w:rFonts w:hint="eastAsia" w:ascii="方正仿宋_GBK" w:hAnsi="方正仿宋_GBK" w:eastAsia="方正仿宋_GBK" w:cs="方正仿宋_GBK"/>
          <w:b w:val="0"/>
          <w:bCs w:val="0"/>
          <w:strike w:val="0"/>
          <w:dstrike w:val="0"/>
          <w:color w:val="000000" w:themeColor="text1"/>
          <w:sz w:val="24"/>
          <w:szCs w:val="24"/>
          <w:lang w:val="en-US" w:eastAsia="zh-CN"/>
          <w14:textFill>
            <w14:solidFill>
              <w14:schemeClr w14:val="tx1"/>
            </w14:solidFill>
          </w14:textFill>
        </w:rPr>
        <w:t>1.2</w:t>
      </w:r>
      <w:r>
        <w:rPr>
          <w:rFonts w:hint="eastAsia" w:ascii="方正仿宋_GBK" w:hAnsi="方正仿宋_GBK" w:eastAsia="方正仿宋_GBK" w:cs="方正仿宋_GBK"/>
          <w:color w:val="000000" w:themeColor="text1"/>
          <w:sz w:val="24"/>
          <w:highlight w:val="none"/>
          <w14:textFill>
            <w14:solidFill>
              <w14:schemeClr w14:val="tx1"/>
            </w14:solidFill>
          </w14:textFill>
        </w:rPr>
        <w:t>所投产品属于</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第一类</w:t>
      </w:r>
      <w:r>
        <w:rPr>
          <w:rFonts w:hint="eastAsia" w:ascii="方正仿宋_GBK" w:hAnsi="方正仿宋_GBK" w:eastAsia="方正仿宋_GBK" w:cs="方正仿宋_GBK"/>
          <w:color w:val="000000" w:themeColor="text1"/>
          <w:sz w:val="24"/>
          <w:highlight w:val="none"/>
          <w14:textFill>
            <w14:solidFill>
              <w14:schemeClr w14:val="tx1"/>
            </w14:solidFill>
          </w14:textFill>
        </w:rPr>
        <w:t>医疗器械</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的，应具有并提供投标产品有效期内的</w:t>
      </w:r>
      <w:r>
        <w:rPr>
          <w:rFonts w:hint="eastAsia" w:ascii="方正仿宋_GBK" w:hAnsi="方正仿宋_GBK" w:eastAsia="方正仿宋_GBK" w:cs="方正仿宋_GBK"/>
          <w:color w:val="000000" w:themeColor="text1"/>
          <w:sz w:val="24"/>
          <w:highlight w:val="none"/>
          <w14:textFill>
            <w14:solidFill>
              <w14:schemeClr w14:val="tx1"/>
            </w14:solidFill>
          </w14:textFill>
        </w:rPr>
        <w:t>第</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一</w:t>
      </w:r>
      <w:r>
        <w:rPr>
          <w:rFonts w:hint="eastAsia" w:ascii="方正仿宋_GBK" w:hAnsi="方正仿宋_GBK" w:eastAsia="方正仿宋_GBK" w:cs="方正仿宋_GBK"/>
          <w:color w:val="000000" w:themeColor="text1"/>
          <w:sz w:val="24"/>
          <w:highlight w:val="none"/>
          <w14:textFill>
            <w14:solidFill>
              <w14:schemeClr w14:val="tx1"/>
            </w14:solidFill>
          </w14:textFill>
        </w:rPr>
        <w:t>类</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医疗器械备案凭证，提供复印件；</w:t>
      </w:r>
      <w:r>
        <w:rPr>
          <w:rFonts w:hint="eastAsia" w:ascii="方正仿宋_GBK" w:hAnsi="方正仿宋_GBK" w:eastAsia="方正仿宋_GBK" w:cs="方正仿宋_GBK"/>
          <w:b w:val="0"/>
          <w:bCs w:val="0"/>
          <w:strike w:val="0"/>
          <w:dstrike w:val="0"/>
          <w:color w:val="000000" w:themeColor="text1"/>
          <w:sz w:val="24"/>
          <w:szCs w:val="24"/>
          <w:lang w:val="en-US" w:eastAsia="zh-CN"/>
          <w14:textFill>
            <w14:solidFill>
              <w14:schemeClr w14:val="tx1"/>
            </w14:solidFill>
          </w14:textFill>
        </w:rPr>
        <w:t>所投</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产品属于</w:t>
      </w:r>
      <w:r>
        <w:rPr>
          <w:rFonts w:hint="eastAsia" w:ascii="方正仿宋_GBK" w:hAnsi="方正仿宋_GBK" w:eastAsia="方正仿宋_GBK" w:cs="方正仿宋_GBK"/>
          <w:color w:val="000000" w:themeColor="text1"/>
          <w:sz w:val="24"/>
          <w:highlight w:val="none"/>
          <w14:textFill>
            <w14:solidFill>
              <w14:schemeClr w14:val="tx1"/>
            </w14:solidFill>
          </w14:textFill>
        </w:rPr>
        <w:t>第二类或第三类医疗器械的，</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应具有并提供投标产品有效期内</w:t>
      </w:r>
      <w:r>
        <w:rPr>
          <w:rFonts w:hint="eastAsia" w:ascii="方正仿宋_GBK" w:hAnsi="方正仿宋_GBK" w:eastAsia="方正仿宋_GBK" w:cs="方正仿宋_GBK"/>
          <w:color w:val="000000" w:themeColor="text1"/>
          <w:sz w:val="24"/>
          <w:highlight w:val="none"/>
          <w14:textFill>
            <w14:solidFill>
              <w14:schemeClr w14:val="tx1"/>
            </w14:solidFill>
          </w14:textFill>
        </w:rPr>
        <w:t>的医疗器械注册证</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，提供复印件；</w:t>
      </w:r>
    </w:p>
    <w:p w14:paraId="0F29DA35">
      <w:pPr>
        <w:pageBreakBefore w:val="0"/>
        <w:kinsoku/>
        <w:overflowPunct/>
        <w:topLinePunct w:val="0"/>
        <w:bidi w:val="0"/>
        <w:spacing w:line="360" w:lineRule="exact"/>
        <w:ind w:firstLine="482" w:firstLineChars="200"/>
        <w:textAlignment w:val="auto"/>
        <w:rPr>
          <w:rFonts w:hint="eastAsia" w:ascii="方正仿宋_GBK" w:hAnsi="方正仿宋_GBK" w:eastAsia="方正仿宋_GBK" w:cs="方正仿宋_GBK"/>
          <w:b/>
          <w:bCs/>
          <w:color w:val="000000" w:themeColor="text1"/>
          <w:sz w:val="24"/>
          <w:highlight w:val="none"/>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highlight w:val="none"/>
          <w:lang w:val="en-US" w:eastAsia="zh-CN"/>
          <w14:textFill>
            <w14:solidFill>
              <w14:schemeClr w14:val="tx1"/>
            </w14:solidFill>
          </w14:textFill>
        </w:rPr>
        <w:t>2.</w:t>
      </w:r>
      <w:r>
        <w:rPr>
          <w:rFonts w:hint="eastAsia" w:ascii="方正仿宋_GBK" w:hAnsi="方正仿宋_GBK" w:eastAsia="方正仿宋_GBK" w:cs="方正仿宋_GBK"/>
          <w:b/>
          <w:bCs/>
          <w:color w:val="000000" w:themeColor="text1"/>
          <w:sz w:val="24"/>
          <w:highlight w:val="none"/>
          <w14:textFill>
            <w14:solidFill>
              <w14:schemeClr w14:val="tx1"/>
            </w14:solidFill>
          </w14:textFill>
        </w:rPr>
        <w:t>投标人若不是所投产品的制造商</w:t>
      </w:r>
      <w:r>
        <w:rPr>
          <w:rFonts w:hint="eastAsia" w:ascii="方正仿宋_GBK" w:hAnsi="方正仿宋_GBK" w:eastAsia="方正仿宋_GBK" w:cs="方正仿宋_GBK"/>
          <w:b/>
          <w:bCs/>
          <w:color w:val="000000" w:themeColor="text1"/>
          <w:sz w:val="24"/>
          <w:highlight w:val="none"/>
          <w:lang w:eastAsia="zh-CN"/>
          <w14:textFill>
            <w14:solidFill>
              <w14:schemeClr w14:val="tx1"/>
            </w14:solidFill>
          </w14:textFill>
        </w:rPr>
        <w:t>：</w:t>
      </w:r>
    </w:p>
    <w:p w14:paraId="48E039F2">
      <w:pPr>
        <w:pageBreakBefore w:val="0"/>
        <w:kinsoku/>
        <w:overflowPunct/>
        <w:topLinePunct w:val="0"/>
        <w:bidi w:val="0"/>
        <w:spacing w:line="360" w:lineRule="exact"/>
        <w:ind w:firstLine="480" w:firstLineChars="200"/>
        <w:textAlignment w:val="auto"/>
        <w:rPr>
          <w:rFonts w:hint="eastAsia" w:ascii="方正仿宋_GBK" w:hAnsi="方正仿宋_GBK" w:eastAsia="方正仿宋_GBK" w:cs="方正仿宋_GBK"/>
          <w:color w:val="000000" w:themeColor="text1"/>
          <w:sz w:val="24"/>
          <w:highlight w:val="none"/>
          <w:lang w:eastAsia="zh-CN"/>
          <w14:textFill>
            <w14:solidFill>
              <w14:schemeClr w14:val="tx1"/>
            </w14:solidFill>
          </w14:textFill>
        </w:rPr>
      </w:pP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2.1所投产品属于</w:t>
      </w:r>
      <w:r>
        <w:rPr>
          <w:rFonts w:hint="eastAsia" w:ascii="方正仿宋_GBK" w:hAnsi="方正仿宋_GBK" w:eastAsia="方正仿宋_GBK" w:cs="方正仿宋_GBK"/>
          <w:color w:val="000000" w:themeColor="text1"/>
          <w:sz w:val="24"/>
          <w:highlight w:val="none"/>
          <w14:textFill>
            <w14:solidFill>
              <w14:schemeClr w14:val="tx1"/>
            </w14:solidFill>
          </w14:textFill>
        </w:rPr>
        <w:t>第一类医疗器械</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的，</w:t>
      </w:r>
      <w:r>
        <w:rPr>
          <w:rFonts w:hint="eastAsia" w:ascii="方正仿宋_GBK" w:hAnsi="方正仿宋_GBK" w:eastAsia="方正仿宋_GBK" w:cs="方正仿宋_GBK"/>
          <w:color w:val="000000" w:themeColor="text1"/>
          <w:sz w:val="24"/>
          <w:highlight w:val="none"/>
          <w14:textFill>
            <w14:solidFill>
              <w14:schemeClr w14:val="tx1"/>
            </w14:solidFill>
          </w14:textFill>
        </w:rPr>
        <w:t>需提供</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投标人的</w:t>
      </w:r>
      <w:r>
        <w:rPr>
          <w:rFonts w:hint="eastAsia" w:ascii="方正仿宋_GBK" w:hAnsi="方正仿宋_GBK" w:eastAsia="方正仿宋_GBK" w:cs="方正仿宋_GBK"/>
          <w:color w:val="000000" w:themeColor="text1"/>
          <w:sz w:val="24"/>
          <w:highlight w:val="none"/>
          <w14:textFill>
            <w14:solidFill>
              <w14:schemeClr w14:val="tx1"/>
            </w14:solidFill>
          </w14:textFill>
        </w:rPr>
        <w:t>营业执照(需含有经营范围)</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复印件、制造商的第一类</w:t>
      </w:r>
      <w:r>
        <w:rPr>
          <w:rFonts w:hint="eastAsia" w:ascii="方正仿宋_GBK" w:hAnsi="方正仿宋_GBK" w:eastAsia="方正仿宋_GBK" w:cs="方正仿宋_GBK"/>
          <w:color w:val="000000" w:themeColor="text1"/>
          <w:sz w:val="24"/>
          <w:highlight w:val="none"/>
          <w14:textFill>
            <w14:solidFill>
              <w14:schemeClr w14:val="tx1"/>
            </w14:solidFill>
          </w14:textFill>
        </w:rPr>
        <w:t>医疗器械生产备案凭证</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复印件</w:t>
      </w:r>
      <w:r>
        <w:rPr>
          <w:rFonts w:hint="eastAsia" w:ascii="方正仿宋_GBK" w:hAnsi="方正仿宋_GBK" w:eastAsia="方正仿宋_GBK" w:cs="方正仿宋_GBK"/>
          <w:color w:val="000000" w:themeColor="text1"/>
          <w:sz w:val="24"/>
          <w:highlight w:val="none"/>
          <w:lang w:eastAsia="zh-CN"/>
          <w14:textFill>
            <w14:solidFill>
              <w14:schemeClr w14:val="tx1"/>
            </w14:solidFill>
          </w14:textFill>
        </w:rPr>
        <w:t>；</w:t>
      </w:r>
    </w:p>
    <w:p w14:paraId="062462B9">
      <w:pPr>
        <w:pageBreakBefore w:val="0"/>
        <w:kinsoku/>
        <w:overflowPunct/>
        <w:topLinePunct w:val="0"/>
        <w:bidi w:val="0"/>
        <w:spacing w:line="360" w:lineRule="exact"/>
        <w:ind w:firstLine="480" w:firstLineChars="200"/>
        <w:textAlignment w:val="auto"/>
        <w:rPr>
          <w:rFonts w:hint="default" w:ascii="方正仿宋_GBK" w:hAnsi="方正仿宋_GBK" w:eastAsia="方正仿宋_GBK" w:cs="方正仿宋_GBK"/>
          <w:color w:val="000000" w:themeColor="text1"/>
          <w:sz w:val="24"/>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2.2</w:t>
      </w:r>
      <w:r>
        <w:rPr>
          <w:rFonts w:hint="eastAsia" w:ascii="方正仿宋_GBK" w:hAnsi="方正仿宋_GBK" w:eastAsia="方正仿宋_GBK" w:cs="方正仿宋_GBK"/>
          <w:color w:val="000000" w:themeColor="text1"/>
          <w:sz w:val="24"/>
          <w:highlight w:val="none"/>
          <w14:textFill>
            <w14:solidFill>
              <w14:schemeClr w14:val="tx1"/>
            </w14:solidFill>
          </w14:textFill>
        </w:rPr>
        <w:t>所投产品属于第二类医疗器械</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的，</w:t>
      </w:r>
      <w:r>
        <w:rPr>
          <w:rFonts w:hint="eastAsia" w:ascii="方正仿宋_GBK" w:hAnsi="方正仿宋_GBK" w:eastAsia="方正仿宋_GBK" w:cs="方正仿宋_GBK"/>
          <w:color w:val="000000" w:themeColor="text1"/>
          <w:sz w:val="24"/>
          <w:highlight w:val="none"/>
          <w14:textFill>
            <w14:solidFill>
              <w14:schemeClr w14:val="tx1"/>
            </w14:solidFill>
          </w14:textFill>
        </w:rPr>
        <w:t>需提供</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投标人的第二类</w:t>
      </w:r>
      <w:r>
        <w:rPr>
          <w:rFonts w:hint="eastAsia" w:ascii="方正仿宋_GBK" w:hAnsi="方正仿宋_GBK" w:eastAsia="方正仿宋_GBK" w:cs="方正仿宋_GBK"/>
          <w:color w:val="000000" w:themeColor="text1"/>
          <w:sz w:val="24"/>
          <w:highlight w:val="none"/>
          <w14:textFill>
            <w14:solidFill>
              <w14:schemeClr w14:val="tx1"/>
            </w14:solidFill>
          </w14:textFill>
        </w:rPr>
        <w:t>医疗器械经营备案凭证</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复印件</w:t>
      </w:r>
      <w:r>
        <w:rPr>
          <w:rFonts w:hint="eastAsia" w:ascii="方正仿宋_GBK" w:hAnsi="方正仿宋_GBK" w:eastAsia="方正仿宋_GBK" w:cs="方正仿宋_GBK"/>
          <w:color w:val="000000" w:themeColor="text1"/>
          <w:sz w:val="24"/>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制造商的</w:t>
      </w:r>
      <w:r>
        <w:rPr>
          <w:rFonts w:hint="eastAsia" w:ascii="方正仿宋_GBK" w:hAnsi="方正仿宋_GBK" w:eastAsia="方正仿宋_GBK" w:cs="方正仿宋_GBK"/>
          <w:color w:val="000000" w:themeColor="text1"/>
          <w:sz w:val="24"/>
          <w:highlight w:val="none"/>
          <w14:textFill>
            <w14:solidFill>
              <w14:schemeClr w14:val="tx1"/>
            </w14:solidFill>
          </w14:textFill>
        </w:rPr>
        <w:t>医疗器械生产许可证</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复印件；</w:t>
      </w:r>
    </w:p>
    <w:p w14:paraId="20DCA492">
      <w:pPr>
        <w:pageBreakBefore w:val="0"/>
        <w:kinsoku/>
        <w:overflowPunct/>
        <w:topLinePunct w:val="0"/>
        <w:bidi w:val="0"/>
        <w:spacing w:line="360" w:lineRule="exact"/>
        <w:ind w:firstLine="480" w:firstLineChars="200"/>
        <w:textAlignment w:val="auto"/>
        <w:rPr>
          <w:rFonts w:hint="eastAsia" w:ascii="方正仿宋_GBK" w:hAnsi="方正仿宋_GBK" w:eastAsia="方正仿宋_GBK" w:cs="方正仿宋_GBK"/>
          <w:b w:val="0"/>
          <w:bCs w:val="0"/>
          <w:strike w:val="0"/>
          <w:dstrike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2.3</w:t>
      </w:r>
      <w:r>
        <w:rPr>
          <w:rFonts w:hint="eastAsia" w:ascii="方正仿宋_GBK" w:hAnsi="方正仿宋_GBK" w:eastAsia="方正仿宋_GBK" w:cs="方正仿宋_GBK"/>
          <w:color w:val="000000" w:themeColor="text1"/>
          <w:sz w:val="24"/>
          <w:highlight w:val="none"/>
          <w14:textFill>
            <w14:solidFill>
              <w14:schemeClr w14:val="tx1"/>
            </w14:solidFill>
          </w14:textFill>
        </w:rPr>
        <w:t>所投产品属于第三类医疗器械</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的，</w:t>
      </w:r>
      <w:r>
        <w:rPr>
          <w:rFonts w:hint="eastAsia" w:ascii="方正仿宋_GBK" w:hAnsi="方正仿宋_GBK" w:eastAsia="方正仿宋_GBK" w:cs="方正仿宋_GBK"/>
          <w:color w:val="000000" w:themeColor="text1"/>
          <w:sz w:val="24"/>
          <w:highlight w:val="none"/>
          <w14:textFill>
            <w14:solidFill>
              <w14:schemeClr w14:val="tx1"/>
            </w14:solidFill>
          </w14:textFill>
        </w:rPr>
        <w:t>需提供</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投标人的</w:t>
      </w:r>
      <w:r>
        <w:rPr>
          <w:rFonts w:hint="eastAsia" w:ascii="方正仿宋_GBK" w:hAnsi="方正仿宋_GBK" w:eastAsia="方正仿宋_GBK" w:cs="方正仿宋_GBK"/>
          <w:color w:val="000000" w:themeColor="text1"/>
          <w:sz w:val="24"/>
          <w:highlight w:val="none"/>
          <w14:textFill>
            <w14:solidFill>
              <w14:schemeClr w14:val="tx1"/>
            </w14:solidFill>
          </w14:textFill>
        </w:rPr>
        <w:t>医疗器械经营许可证</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复印件</w:t>
      </w:r>
      <w:r>
        <w:rPr>
          <w:rFonts w:hint="eastAsia" w:ascii="方正仿宋_GBK" w:hAnsi="方正仿宋_GBK" w:eastAsia="方正仿宋_GBK" w:cs="方正仿宋_GBK"/>
          <w:color w:val="000000" w:themeColor="text1"/>
          <w:sz w:val="24"/>
          <w:highlight w:val="none"/>
          <w14:textFill>
            <w14:solidFill>
              <w14:schemeClr w14:val="tx1"/>
            </w14:solidFill>
          </w14:textFill>
        </w:rPr>
        <w:t>、</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制造商的</w:t>
      </w:r>
      <w:r>
        <w:rPr>
          <w:rFonts w:hint="eastAsia" w:ascii="方正仿宋_GBK" w:hAnsi="方正仿宋_GBK" w:eastAsia="方正仿宋_GBK" w:cs="方正仿宋_GBK"/>
          <w:color w:val="000000" w:themeColor="text1"/>
          <w:sz w:val="24"/>
          <w:highlight w:val="none"/>
          <w14:textFill>
            <w14:solidFill>
              <w14:schemeClr w14:val="tx1"/>
            </w14:solidFill>
          </w14:textFill>
        </w:rPr>
        <w:t>医疗器械生产许可证</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复印件</w:t>
      </w:r>
      <w:r>
        <w:rPr>
          <w:rFonts w:hint="eastAsia" w:ascii="方正仿宋_GBK" w:hAnsi="方正仿宋_GBK" w:eastAsia="方正仿宋_GBK" w:cs="方正仿宋_GBK"/>
          <w:b w:val="0"/>
          <w:bCs w:val="0"/>
          <w:strike w:val="0"/>
          <w:dstrike w:val="0"/>
          <w:color w:val="000000" w:themeColor="text1"/>
          <w:sz w:val="24"/>
          <w:szCs w:val="24"/>
          <w:lang w:val="en-US" w:eastAsia="zh-CN"/>
          <w14:textFill>
            <w14:solidFill>
              <w14:schemeClr w14:val="tx1"/>
            </w14:solidFill>
          </w14:textFill>
        </w:rPr>
        <w:t>；</w:t>
      </w:r>
    </w:p>
    <w:p w14:paraId="70F65CCA">
      <w:pPr>
        <w:pageBreakBefore w:val="0"/>
        <w:kinsoku/>
        <w:overflowPunct/>
        <w:topLinePunct w:val="0"/>
        <w:bidi w:val="0"/>
        <w:spacing w:line="360" w:lineRule="exact"/>
        <w:ind w:firstLine="480" w:firstLineChars="200"/>
        <w:textAlignment w:val="auto"/>
        <w:rPr>
          <w:rFonts w:hint="eastAsia"/>
          <w:lang w:val="en-US" w:eastAsia="zh-CN"/>
        </w:rPr>
      </w:pP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2.4</w:t>
      </w:r>
      <w:r>
        <w:rPr>
          <w:rFonts w:hint="eastAsia" w:ascii="方正仿宋_GBK" w:hAnsi="方正仿宋_GBK" w:eastAsia="方正仿宋_GBK" w:cs="方正仿宋_GBK"/>
          <w:color w:val="000000" w:themeColor="text1"/>
          <w:sz w:val="24"/>
          <w:highlight w:val="none"/>
          <w14:textFill>
            <w14:solidFill>
              <w14:schemeClr w14:val="tx1"/>
            </w14:solidFill>
          </w14:textFill>
        </w:rPr>
        <w:t>所投产品属于</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第一类</w:t>
      </w:r>
      <w:r>
        <w:rPr>
          <w:rFonts w:hint="eastAsia" w:ascii="方正仿宋_GBK" w:hAnsi="方正仿宋_GBK" w:eastAsia="方正仿宋_GBK" w:cs="方正仿宋_GBK"/>
          <w:color w:val="000000" w:themeColor="text1"/>
          <w:sz w:val="24"/>
          <w:highlight w:val="none"/>
          <w14:textFill>
            <w14:solidFill>
              <w14:schemeClr w14:val="tx1"/>
            </w14:solidFill>
          </w14:textFill>
        </w:rPr>
        <w:t>医疗器械</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的，应</w:t>
      </w:r>
      <w:r>
        <w:rPr>
          <w:rFonts w:hint="eastAsia" w:ascii="方正仿宋_GBK" w:hAnsi="方正仿宋_GBK" w:eastAsia="方正仿宋_GBK" w:cs="方正仿宋_GBK"/>
          <w:strike w:val="0"/>
          <w:dstrike w:val="0"/>
          <w:color w:val="000000" w:themeColor="text1"/>
          <w:sz w:val="24"/>
          <w:highlight w:val="none"/>
          <w:lang w:val="en-US" w:eastAsia="zh-CN"/>
          <w14:textFill>
            <w14:solidFill>
              <w14:schemeClr w14:val="tx1"/>
            </w14:solidFill>
          </w14:textFill>
        </w:rPr>
        <w:t>提供</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投标产品有效期内的第一类医疗器械备案凭证，提供复印件；属于</w:t>
      </w:r>
      <w:r>
        <w:rPr>
          <w:rFonts w:hint="eastAsia" w:ascii="方正仿宋_GBK" w:hAnsi="方正仿宋_GBK" w:eastAsia="方正仿宋_GBK" w:cs="方正仿宋_GBK"/>
          <w:color w:val="000000" w:themeColor="text1"/>
          <w:sz w:val="24"/>
          <w:highlight w:val="none"/>
          <w14:textFill>
            <w14:solidFill>
              <w14:schemeClr w14:val="tx1"/>
            </w14:solidFill>
          </w14:textFill>
        </w:rPr>
        <w:t>第二类或第三类医疗器械的，</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应</w:t>
      </w:r>
      <w:r>
        <w:rPr>
          <w:rFonts w:hint="eastAsia" w:ascii="方正仿宋_GBK" w:hAnsi="方正仿宋_GBK" w:eastAsia="方正仿宋_GBK" w:cs="方正仿宋_GBK"/>
          <w:strike w:val="0"/>
          <w:dstrike w:val="0"/>
          <w:color w:val="000000" w:themeColor="text1"/>
          <w:sz w:val="24"/>
          <w:highlight w:val="none"/>
          <w:lang w:val="en-US" w:eastAsia="zh-CN"/>
          <w14:textFill>
            <w14:solidFill>
              <w14:schemeClr w14:val="tx1"/>
            </w14:solidFill>
          </w14:textFill>
        </w:rPr>
        <w:t>提供</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投标产品有效期内</w:t>
      </w:r>
      <w:r>
        <w:rPr>
          <w:rFonts w:hint="eastAsia" w:ascii="方正仿宋_GBK" w:hAnsi="方正仿宋_GBK" w:eastAsia="方正仿宋_GBK" w:cs="方正仿宋_GBK"/>
          <w:color w:val="000000" w:themeColor="text1"/>
          <w:sz w:val="24"/>
          <w:highlight w:val="none"/>
          <w14:textFill>
            <w14:solidFill>
              <w14:schemeClr w14:val="tx1"/>
            </w14:solidFill>
          </w14:textFill>
        </w:rPr>
        <w:t>的医疗器械注册证</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，提供复印件；</w:t>
      </w:r>
    </w:p>
    <w:p w14:paraId="713904B0">
      <w:pPr>
        <w:pageBreakBefore w:val="0"/>
        <w:numPr>
          <w:ilvl w:val="0"/>
          <w:numId w:val="0"/>
        </w:numPr>
        <w:tabs>
          <w:tab w:val="left" w:pos="720"/>
        </w:tabs>
        <w:kinsoku/>
        <w:overflowPunct/>
        <w:topLinePunct w:val="0"/>
        <w:bidi w:val="0"/>
        <w:adjustRightInd w:val="0"/>
        <w:snapToGrid w:val="0"/>
        <w:spacing w:line="360" w:lineRule="exact"/>
        <w:ind w:firstLine="480"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3.供应商</w:t>
      </w:r>
      <w:r>
        <w:rPr>
          <w:rFonts w:hint="eastAsia" w:ascii="方正仿宋_GBK" w:hAnsi="方正仿宋_GBK" w:eastAsia="方正仿宋_GBK" w:cs="方正仿宋_GBK"/>
          <w:b w:val="0"/>
          <w:bCs w:val="0"/>
          <w:color w:val="auto"/>
          <w:sz w:val="24"/>
          <w:highlight w:val="none"/>
          <w:lang w:val="en-US" w:eastAsia="zh-CN"/>
        </w:rPr>
        <w:t>承诺经营范围包含所投产品（提供承诺函）</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；供应商为代理商的应具有</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所投产品</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的合法销售资格（提供证明文件加盖单位公章）。</w:t>
      </w:r>
    </w:p>
    <w:p w14:paraId="6A7638B7">
      <w:pPr>
        <w:pageBreakBefore w:val="0"/>
        <w:tabs>
          <w:tab w:val="left" w:pos="720"/>
        </w:tabs>
        <w:kinsoku/>
        <w:overflowPunct/>
        <w:topLinePunct w:val="0"/>
        <w:bidi w:val="0"/>
        <w:adjustRightInd w:val="0"/>
        <w:snapToGrid w:val="0"/>
        <w:spacing w:line="360" w:lineRule="exact"/>
        <w:ind w:firstLine="480"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4.产品技术白皮书和彩页资料。</w:t>
      </w:r>
    </w:p>
    <w:p w14:paraId="53710DEC">
      <w:pPr>
        <w:pageBreakBefore w:val="0"/>
        <w:tabs>
          <w:tab w:val="left" w:pos="720"/>
        </w:tabs>
        <w:kinsoku/>
        <w:overflowPunct/>
        <w:topLinePunct w:val="0"/>
        <w:bidi w:val="0"/>
        <w:adjustRightInd w:val="0"/>
        <w:snapToGrid w:val="0"/>
        <w:spacing w:line="360" w:lineRule="exact"/>
        <w:ind w:firstLine="482" w:firstLineChars="200"/>
        <w:textAlignment w:val="auto"/>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说明：</w:t>
      </w:r>
    </w:p>
    <w:p w14:paraId="7DD84C9F">
      <w:pPr>
        <w:pageBreakBefore w:val="0"/>
        <w:numPr>
          <w:ilvl w:val="0"/>
          <w:numId w:val="0"/>
        </w:numPr>
        <w:tabs>
          <w:tab w:val="left" w:pos="720"/>
        </w:tabs>
        <w:kinsoku/>
        <w:overflowPunct/>
        <w:topLinePunct w:val="0"/>
        <w:bidi w:val="0"/>
        <w:adjustRightInd w:val="0"/>
        <w:snapToGrid w:val="0"/>
        <w:spacing w:line="360" w:lineRule="exact"/>
        <w:ind w:firstLine="480"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2"/>
          <w:sz w:val="24"/>
          <w:szCs w:val="24"/>
          <w:lang w:val="en-US" w:eastAsia="zh-CN" w:bidi="ar-SA"/>
          <w14:textFill>
            <w14:solidFill>
              <w14:schemeClr w14:val="tx1"/>
            </w14:solidFill>
          </w14:textFill>
        </w:rPr>
        <w:t>1.</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上述证明材料须在响应文件中复印件加盖</w:t>
      </w:r>
      <w:r>
        <w:rPr>
          <w:rFonts w:hint="eastAsia" w:ascii="方正仿宋_GBK" w:hAnsi="方正仿宋_GBK" w:eastAsia="方正仿宋_GBK" w:cs="方正仿宋_GBK"/>
          <w:b w:val="0"/>
          <w:bCs w:val="0"/>
          <w:strike w:val="0"/>
          <w:dstrike w:val="0"/>
          <w:color w:val="000000" w:themeColor="text1"/>
          <w:sz w:val="24"/>
          <w:szCs w:val="24"/>
          <w:lang w:val="en-US" w:eastAsia="zh-CN"/>
          <w14:textFill>
            <w14:solidFill>
              <w14:schemeClr w14:val="tx1"/>
            </w14:solidFill>
          </w14:textFill>
        </w:rPr>
        <w:t>单位鲜</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章。</w:t>
      </w:r>
    </w:p>
    <w:p w14:paraId="681CCFC2">
      <w:pPr>
        <w:pageBreakBefore w:val="0"/>
        <w:numPr>
          <w:ilvl w:val="0"/>
          <w:numId w:val="0"/>
        </w:numPr>
        <w:tabs>
          <w:tab w:val="left" w:pos="720"/>
        </w:tabs>
        <w:kinsoku/>
        <w:overflowPunct/>
        <w:topLinePunct w:val="0"/>
        <w:bidi w:val="0"/>
        <w:adjustRightInd w:val="0"/>
        <w:snapToGrid w:val="0"/>
        <w:spacing w:line="360" w:lineRule="exact"/>
        <w:ind w:firstLine="480"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2.采购人在采购有效期内均有权对响应供应商提供的以上资料（证明材料和证件的原件或复印件）进行核实。采购人在合同签订前有权对响应供应商提供的资料进行核实，若发现弄虚作假，按相关规定取消其中</w:t>
      </w:r>
      <w:r>
        <w:rPr>
          <w:rFonts w:hint="eastAsia" w:ascii="方正仿宋_GBK" w:hAnsi="方正仿宋_GBK" w:eastAsia="方正仿宋_GBK" w:cs="方正仿宋_GBK"/>
          <w:b w:val="0"/>
          <w:bCs w:val="0"/>
          <w:strike w:val="0"/>
          <w:dstrike w:val="0"/>
          <w:color w:val="000000" w:themeColor="text1"/>
          <w:sz w:val="24"/>
          <w:szCs w:val="24"/>
          <w:lang w:val="en-US" w:eastAsia="zh-CN"/>
          <w14:textFill>
            <w14:solidFill>
              <w14:schemeClr w14:val="tx1"/>
            </w14:solidFill>
          </w14:textFill>
        </w:rPr>
        <w:t>标</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资格，并按相关法律法规处理，响应供应商承担因此造成的相关责任并赔偿相应损失。</w:t>
      </w:r>
    </w:p>
    <w:p w14:paraId="338981E6">
      <w:pPr>
        <w:pageBreakBefore w:val="0"/>
        <w:widowControl w:val="0"/>
        <w:kinsoku/>
        <w:wordWrap/>
        <w:overflowPunct/>
        <w:topLinePunct w:val="0"/>
        <w:autoSpaceDE/>
        <w:autoSpaceDN/>
        <w:bidi w:val="0"/>
        <w:adjustRightInd w:val="0"/>
        <w:snapToGrid w:val="0"/>
        <w:spacing w:line="360" w:lineRule="exact"/>
        <w:ind w:firstLine="542" w:firstLineChars="225"/>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五、投标有关说明</w:t>
      </w:r>
    </w:p>
    <w:p w14:paraId="7D87A457">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1.报名：2026年9月15日-9月17日（工作日）9：00-17:00通过线上报名方式获取招标文件（报名提供：营业执照等复印件加盖公司鲜章扫描件、标书费转账凭证图片或扫描件、项目报名表签字版扫描件等）；具体线上报名方式详见采购公告内容。</w:t>
      </w:r>
    </w:p>
    <w:p w14:paraId="70E9BD22">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报名资料提交邮箱时请以“公司名称（全称或规范简称）+项目名称报名资料”命名。</w:t>
      </w:r>
    </w:p>
    <w:p w14:paraId="741A7249">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标书费：</w:t>
      </w:r>
      <w:r>
        <w:rPr>
          <w:rFonts w:hint="eastAsia" w:ascii="微软雅黑" w:hAnsi="微软雅黑" w:eastAsia="微软雅黑" w:cs="微软雅黑"/>
          <w:b w:val="0"/>
          <w:bCs w:val="0"/>
          <w:color w:val="000000" w:themeColor="text1"/>
          <w:sz w:val="24"/>
          <w:szCs w:val="24"/>
          <w:lang w:val="en-US" w:eastAsia="zh-CN"/>
          <w14:textFill>
            <w14:solidFill>
              <w14:schemeClr w14:val="tx1"/>
            </w14:solidFill>
          </w14:textFill>
        </w:rPr>
        <w:t>¥</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100.00</w:t>
      </w:r>
    </w:p>
    <w:p w14:paraId="70725C40">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标书费办理流程：</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报名登记前按下述采购人账号转账（对公账户）</w:t>
      </w:r>
    </w:p>
    <w:p w14:paraId="18190F5A">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投标保证金：</w:t>
      </w:r>
      <w:r>
        <w:rPr>
          <w:rFonts w:hint="eastAsia" w:ascii="微软雅黑" w:hAnsi="微软雅黑" w:eastAsia="微软雅黑" w:cs="微软雅黑"/>
          <w:b w:val="0"/>
          <w:bCs w:val="0"/>
          <w:color w:val="000000" w:themeColor="text1"/>
          <w:sz w:val="24"/>
          <w:szCs w:val="24"/>
          <w:lang w:val="en-US" w:eastAsia="zh-CN"/>
          <w14:textFill>
            <w14:solidFill>
              <w14:schemeClr w14:val="tx1"/>
            </w14:solidFill>
          </w14:textFill>
        </w:rPr>
        <w:t>¥</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4000.00，</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缴纳截止时间：</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2026年9月17日 17:00。</w:t>
      </w:r>
    </w:p>
    <w:p w14:paraId="7B8E1074">
      <w:pPr>
        <w:pageBreakBefore w:val="0"/>
        <w:widowControl w:val="0"/>
        <w:kinsoku/>
        <w:wordWrap/>
        <w:overflowPunct/>
        <w:topLinePunct w:val="0"/>
        <w:autoSpaceDE/>
        <w:autoSpaceDN/>
        <w:bidi w:val="0"/>
        <w:snapToGrid w:val="0"/>
        <w:spacing w:line="360" w:lineRule="exact"/>
        <w:ind w:firstLine="482" w:firstLineChars="200"/>
        <w:textAlignment w:val="auto"/>
        <w:rPr>
          <w:rFonts w:hint="default"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投标人缴纳投标保证金，须在上述要求时间内将投标保证金</w:t>
      </w:r>
      <w:r>
        <w:rPr>
          <w:rFonts w:hint="eastAsia" w:ascii="方正仿宋_GBK" w:hAnsi="方正仿宋_GBK" w:eastAsia="方正仿宋_GBK" w:cs="方正仿宋_GBK"/>
          <w:b/>
          <w:bCs/>
          <w:color w:val="000000" w:themeColor="text1"/>
          <w:sz w:val="24"/>
          <w:szCs w:val="24"/>
          <w14:textFill>
            <w14:solidFill>
              <w14:schemeClr w14:val="tx1"/>
            </w14:solidFill>
          </w14:textFill>
        </w:rPr>
        <w:t>转账凭证</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图片或</w:t>
      </w:r>
      <w:r>
        <w:rPr>
          <w:rFonts w:hint="eastAsia" w:ascii="方正仿宋_GBK" w:hAnsi="方正仿宋_GBK" w:eastAsia="方正仿宋_GBK" w:cs="方正仿宋_GBK"/>
          <w:b/>
          <w:bCs/>
          <w:color w:val="000000" w:themeColor="text1"/>
          <w:sz w:val="24"/>
          <w:szCs w:val="24"/>
          <w14:textFill>
            <w14:solidFill>
              <w14:schemeClr w14:val="tx1"/>
            </w14:solidFill>
          </w14:textFill>
        </w:rPr>
        <w:t>扫描件</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发送至采购人指定邮箱，且应将应将标书费及投标保证金（如有，无则不提供）</w:t>
      </w:r>
      <w:r>
        <w:rPr>
          <w:rFonts w:hint="eastAsia" w:ascii="方正仿宋_GBK" w:hAnsi="方正仿宋_GBK" w:eastAsia="方正仿宋_GBK" w:cs="方正仿宋_GBK"/>
          <w:b/>
          <w:bCs/>
          <w:color w:val="000000" w:themeColor="text1"/>
          <w:sz w:val="24"/>
          <w:szCs w:val="24"/>
          <w14:textFill>
            <w14:solidFill>
              <w14:schemeClr w14:val="tx1"/>
            </w14:solidFill>
          </w14:textFill>
        </w:rPr>
        <w:t>转账凭证</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图片或</w:t>
      </w:r>
      <w:r>
        <w:rPr>
          <w:rFonts w:hint="eastAsia" w:ascii="方正仿宋_GBK" w:hAnsi="方正仿宋_GBK" w:eastAsia="方正仿宋_GBK" w:cs="方正仿宋_GBK"/>
          <w:b/>
          <w:bCs/>
          <w:color w:val="000000" w:themeColor="text1"/>
          <w:sz w:val="24"/>
          <w:szCs w:val="24"/>
          <w14:textFill>
            <w14:solidFill>
              <w14:schemeClr w14:val="tx1"/>
            </w14:solidFill>
          </w14:textFill>
        </w:rPr>
        <w:t>扫描件</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按要求附在投标文件内。</w:t>
      </w:r>
    </w:p>
    <w:p w14:paraId="69590861">
      <w:pPr>
        <w:pageBreakBefore w:val="0"/>
        <w:widowControl w:val="0"/>
        <w:kinsoku/>
        <w:wordWrap/>
        <w:overflowPunct/>
        <w:topLinePunct w:val="0"/>
        <w:autoSpaceDE/>
        <w:autoSpaceDN/>
        <w:bidi w:val="0"/>
        <w:snapToGrid w:val="0"/>
        <w:spacing w:line="360" w:lineRule="exact"/>
        <w:ind w:firstLine="482" w:firstLineChars="200"/>
        <w:textAlignment w:val="auto"/>
        <w:rPr>
          <w:rFonts w:hint="default"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以下情形不予退还投标保证金：</w:t>
      </w:r>
    </w:p>
    <w:p w14:paraId="47810228">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（1）</w:t>
      </w:r>
      <w:r>
        <w:rPr>
          <w:rFonts w:hint="default" w:ascii="方正仿宋_GBK" w:hAnsi="方正仿宋_GBK" w:eastAsia="方正仿宋_GBK" w:cs="方正仿宋_GBK"/>
          <w:color w:val="000000" w:themeColor="text1"/>
          <w:sz w:val="24"/>
          <w:szCs w:val="24"/>
          <w:lang w:val="en-US" w:eastAsia="zh-CN"/>
          <w14:textFill>
            <w14:solidFill>
              <w14:schemeClr w14:val="tx1"/>
            </w14:solidFill>
          </w14:textFill>
        </w:rPr>
        <w:t>投标人在投标截止日期后没有提交投标，且之前也没有任何通知说明。</w:t>
      </w:r>
    </w:p>
    <w:p w14:paraId="7591E363">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（2）</w:t>
      </w:r>
      <w:r>
        <w:rPr>
          <w:rFonts w:hint="default" w:ascii="方正仿宋_GBK" w:hAnsi="方正仿宋_GBK" w:eastAsia="方正仿宋_GBK" w:cs="方正仿宋_GBK"/>
          <w:color w:val="000000" w:themeColor="text1"/>
          <w:sz w:val="24"/>
          <w:szCs w:val="24"/>
          <w:lang w:val="en-US" w:eastAsia="zh-CN"/>
          <w14:textFill>
            <w14:solidFill>
              <w14:schemeClr w14:val="tx1"/>
            </w14:solidFill>
          </w14:textFill>
        </w:rPr>
        <w:t>投标人在提交投标文件后，突然放弃投标。</w:t>
      </w:r>
    </w:p>
    <w:p w14:paraId="4973327A">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（3）</w:t>
      </w:r>
      <w:r>
        <w:rPr>
          <w:rFonts w:hint="default" w:ascii="方正仿宋_GBK" w:hAnsi="方正仿宋_GBK" w:eastAsia="方正仿宋_GBK" w:cs="方正仿宋_GBK"/>
          <w:color w:val="000000" w:themeColor="text1"/>
          <w:sz w:val="24"/>
          <w:szCs w:val="24"/>
          <w:lang w:val="en-US" w:eastAsia="zh-CN"/>
          <w14:textFill>
            <w14:solidFill>
              <w14:schemeClr w14:val="tx1"/>
            </w14:solidFill>
          </w14:textFill>
        </w:rPr>
        <w:t>中标后，在接到通知书的30日内，在没有正当理由的情况下拒绝与</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采购</w:t>
      </w:r>
      <w:r>
        <w:rPr>
          <w:rFonts w:hint="default" w:ascii="方正仿宋_GBK" w:hAnsi="方正仿宋_GBK" w:eastAsia="方正仿宋_GBK" w:cs="方正仿宋_GBK"/>
          <w:color w:val="000000" w:themeColor="text1"/>
          <w:sz w:val="24"/>
          <w:szCs w:val="24"/>
          <w:lang w:val="en-US" w:eastAsia="zh-CN"/>
          <w14:textFill>
            <w14:solidFill>
              <w14:schemeClr w14:val="tx1"/>
            </w14:solidFill>
          </w14:textFill>
        </w:rPr>
        <w:t>人签订合同。</w:t>
      </w:r>
    </w:p>
    <w:p w14:paraId="306EF268">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（4）</w:t>
      </w:r>
      <w:r>
        <w:rPr>
          <w:rFonts w:hint="default" w:ascii="方正仿宋_GBK" w:hAnsi="方正仿宋_GBK" w:eastAsia="方正仿宋_GBK" w:cs="方正仿宋_GBK"/>
          <w:color w:val="000000" w:themeColor="text1"/>
          <w:sz w:val="24"/>
          <w:szCs w:val="24"/>
          <w:lang w:val="en-US" w:eastAsia="zh-CN"/>
          <w14:textFill>
            <w14:solidFill>
              <w14:schemeClr w14:val="tx1"/>
            </w14:solidFill>
          </w14:textFill>
        </w:rPr>
        <w:t>在投标过程中，被发现有违反法律和纪律的行为。</w:t>
      </w:r>
    </w:p>
    <w:p w14:paraId="11309589">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（5）</w:t>
      </w:r>
      <w:r>
        <w:rPr>
          <w:rFonts w:hint="default" w:ascii="方正仿宋_GBK" w:hAnsi="方正仿宋_GBK" w:eastAsia="方正仿宋_GBK" w:cs="方正仿宋_GBK"/>
          <w:color w:val="000000" w:themeColor="text1"/>
          <w:sz w:val="24"/>
          <w:szCs w:val="24"/>
          <w:lang w:val="en-US" w:eastAsia="zh-CN"/>
          <w14:textFill>
            <w14:solidFill>
              <w14:schemeClr w14:val="tx1"/>
            </w14:solidFill>
          </w14:textFill>
        </w:rPr>
        <w:t>如果在投标过程中，因为违反规定，被他人投诉或举报，事情还</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未</w:t>
      </w:r>
      <w:r>
        <w:rPr>
          <w:rFonts w:hint="default" w:ascii="方正仿宋_GBK" w:hAnsi="方正仿宋_GBK" w:eastAsia="方正仿宋_GBK" w:cs="方正仿宋_GBK"/>
          <w:color w:val="000000" w:themeColor="text1"/>
          <w:sz w:val="24"/>
          <w:szCs w:val="24"/>
          <w:lang w:val="en-US" w:eastAsia="zh-CN"/>
          <w14:textFill>
            <w14:solidFill>
              <w14:schemeClr w14:val="tx1"/>
            </w14:solidFill>
          </w14:textFill>
        </w:rPr>
        <w:t>解决，可以暂不退还投标保证金，待事情</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解决完毕</w:t>
      </w:r>
      <w:r>
        <w:rPr>
          <w:rFonts w:hint="default" w:ascii="方正仿宋_GBK" w:hAnsi="方正仿宋_GBK" w:eastAsia="方正仿宋_GBK" w:cs="方正仿宋_GBK"/>
          <w:color w:val="000000" w:themeColor="text1"/>
          <w:sz w:val="24"/>
          <w:szCs w:val="24"/>
          <w:lang w:val="en-US" w:eastAsia="zh-CN"/>
          <w14:textFill>
            <w14:solidFill>
              <w14:schemeClr w14:val="tx1"/>
            </w14:solidFill>
          </w14:textFill>
        </w:rPr>
        <w:t>后，根据情况决定</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w:t>
      </w:r>
    </w:p>
    <w:p w14:paraId="623A176A">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（6）</w:t>
      </w:r>
      <w:r>
        <w:rPr>
          <w:rFonts w:hint="default" w:ascii="方正仿宋_GBK" w:hAnsi="方正仿宋_GBK" w:eastAsia="方正仿宋_GBK" w:cs="方正仿宋_GBK"/>
          <w:color w:val="000000" w:themeColor="text1"/>
          <w:sz w:val="24"/>
          <w:szCs w:val="24"/>
          <w:lang w:val="en-US" w:eastAsia="zh-CN"/>
          <w14:textFill>
            <w14:solidFill>
              <w14:schemeClr w14:val="tx1"/>
            </w14:solidFill>
          </w14:textFill>
        </w:rPr>
        <w:t>投标截止后撤销投标。</w:t>
      </w:r>
    </w:p>
    <w:p w14:paraId="0798D075">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（7）</w:t>
      </w:r>
      <w:r>
        <w:rPr>
          <w:rFonts w:hint="default" w:ascii="方正仿宋_GBK" w:hAnsi="方正仿宋_GBK" w:eastAsia="方正仿宋_GBK" w:cs="方正仿宋_GBK"/>
          <w:color w:val="000000" w:themeColor="text1"/>
          <w:sz w:val="24"/>
          <w:szCs w:val="24"/>
          <w:lang w:val="en-US" w:eastAsia="zh-CN"/>
          <w14:textFill>
            <w14:solidFill>
              <w14:schemeClr w14:val="tx1"/>
            </w14:solidFill>
          </w14:textFill>
        </w:rPr>
        <w:t>中标后不与招标人订立合同。</w:t>
      </w:r>
    </w:p>
    <w:p w14:paraId="08F09E50">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（8）中标（成交）供应商</w:t>
      </w:r>
      <w:r>
        <w:rPr>
          <w:rFonts w:hint="default" w:ascii="方正仿宋_GBK" w:hAnsi="方正仿宋_GBK" w:eastAsia="方正仿宋_GBK" w:cs="方正仿宋_GBK"/>
          <w:color w:val="000000" w:themeColor="text1"/>
          <w:sz w:val="24"/>
          <w:szCs w:val="24"/>
          <w:lang w:val="en-US" w:eastAsia="zh-CN"/>
          <w14:textFill>
            <w14:solidFill>
              <w14:schemeClr w14:val="tx1"/>
            </w14:solidFill>
          </w14:textFill>
        </w:rPr>
        <w:t>签订合同时向招标人提出附加条件。</w:t>
      </w:r>
    </w:p>
    <w:p w14:paraId="5E33D85E">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（9）</w:t>
      </w:r>
      <w:r>
        <w:rPr>
          <w:rFonts w:hint="default" w:ascii="方正仿宋_GBK" w:hAnsi="方正仿宋_GBK" w:eastAsia="方正仿宋_GBK" w:cs="方正仿宋_GBK"/>
          <w:color w:val="000000" w:themeColor="text1"/>
          <w:sz w:val="24"/>
          <w:szCs w:val="24"/>
          <w:lang w:val="en-US" w:eastAsia="zh-CN"/>
          <w14:textFill>
            <w14:solidFill>
              <w14:schemeClr w14:val="tx1"/>
            </w14:solidFill>
          </w14:textFill>
        </w:rPr>
        <w:t>中标后不按照招标文件要求提交履约保证金。</w:t>
      </w:r>
    </w:p>
    <w:p w14:paraId="406FBF2D">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（10）</w:t>
      </w:r>
      <w:r>
        <w:rPr>
          <w:rFonts w:hint="default" w:ascii="方正仿宋_GBK" w:hAnsi="方正仿宋_GBK" w:eastAsia="方正仿宋_GBK" w:cs="方正仿宋_GBK"/>
          <w:color w:val="000000" w:themeColor="text1"/>
          <w:sz w:val="24"/>
          <w:szCs w:val="24"/>
          <w:lang w:val="en-US" w:eastAsia="zh-CN"/>
          <w14:textFill>
            <w14:solidFill>
              <w14:schemeClr w14:val="tx1"/>
            </w14:solidFill>
          </w14:textFill>
        </w:rPr>
        <w:t>投标人采用不正当的手段骗取中标。</w:t>
      </w:r>
    </w:p>
    <w:p w14:paraId="6D9D208A">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（11）</w:t>
      </w:r>
      <w:r>
        <w:rPr>
          <w:rFonts w:hint="default" w:ascii="方正仿宋_GBK" w:hAnsi="方正仿宋_GBK" w:eastAsia="方正仿宋_GBK" w:cs="方正仿宋_GBK"/>
          <w:color w:val="000000" w:themeColor="text1"/>
          <w:sz w:val="24"/>
          <w:szCs w:val="24"/>
          <w:lang w:val="en-US" w:eastAsia="zh-CN"/>
          <w14:textFill>
            <w14:solidFill>
              <w14:schemeClr w14:val="tx1"/>
            </w14:solidFill>
          </w14:textFill>
        </w:rPr>
        <w:t>投标人在招标文件中规定的投标有效期内撤回其投标</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w:t>
      </w:r>
    </w:p>
    <w:p w14:paraId="30F084F3">
      <w:pPr>
        <w:pageBreakBefore w:val="0"/>
        <w:widowControl w:val="0"/>
        <w:kinsoku/>
        <w:wordWrap/>
        <w:overflowPunct/>
        <w:topLinePunct w:val="0"/>
        <w:autoSpaceDE/>
        <w:autoSpaceDN/>
        <w:bidi w:val="0"/>
        <w:snapToGrid w:val="0"/>
        <w:spacing w:line="360" w:lineRule="exact"/>
        <w:ind w:firstLine="480" w:firstLineChars="200"/>
        <w:textAlignment w:val="auto"/>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（12）中标（成交）供应商</w:t>
      </w:r>
      <w:r>
        <w:rPr>
          <w:rFonts w:hint="default" w:ascii="方正仿宋_GBK" w:hAnsi="方正仿宋_GBK" w:eastAsia="方正仿宋_GBK" w:cs="方正仿宋_GBK"/>
          <w:color w:val="000000" w:themeColor="text1"/>
          <w:sz w:val="24"/>
          <w:szCs w:val="24"/>
          <w:lang w:val="en-US" w:eastAsia="zh-CN"/>
          <w14:textFill>
            <w14:solidFill>
              <w14:schemeClr w14:val="tx1"/>
            </w14:solidFill>
          </w14:textFill>
        </w:rPr>
        <w:t>在规定期限内未能根据规定签订合同或者按规定接受对错误的修正</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w:t>
      </w:r>
    </w:p>
    <w:p w14:paraId="727F7D29">
      <w:pPr>
        <w:pageBreakBefore w:val="0"/>
        <w:widowControl w:val="0"/>
        <w:kinsoku/>
        <w:wordWrap/>
        <w:overflowPunct/>
        <w:topLinePunct w:val="0"/>
        <w:autoSpaceDE/>
        <w:autoSpaceDN/>
        <w:bidi w:val="0"/>
        <w:snapToGrid w:val="0"/>
        <w:spacing w:line="360" w:lineRule="exact"/>
        <w:ind w:firstLine="480" w:firstLineChars="200"/>
        <w:textAlignment w:val="auto"/>
        <w:rPr>
          <w:rFonts w:hint="eastAsia" w:ascii="方正仿宋_GBK" w:hAnsi="方正仿宋_GBK" w:eastAsia="方正仿宋_GBK" w:cs="方正仿宋_GBK"/>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13</w:t>
      </w:r>
      <w:r>
        <w:rPr>
          <w:rFonts w:hint="eastAsia" w:ascii="方正仿宋_GBK" w:hAnsi="方正仿宋_GBK" w:eastAsia="方正仿宋_GBK" w:cs="方正仿宋_GBK"/>
          <w:color w:val="000000" w:themeColor="text1"/>
          <w:sz w:val="24"/>
          <w:szCs w:val="24"/>
          <w14:textFill>
            <w14:solidFill>
              <w14:schemeClr w14:val="tx1"/>
            </w14:solidFill>
          </w14:textFill>
        </w:rPr>
        <w:t>）投标人</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被发现有</w:t>
      </w:r>
      <w:r>
        <w:rPr>
          <w:rFonts w:hint="eastAsia" w:ascii="方正仿宋_GBK" w:hAnsi="方正仿宋_GBK" w:eastAsia="方正仿宋_GBK" w:cs="方正仿宋_GBK"/>
          <w:color w:val="000000" w:themeColor="text1"/>
          <w:sz w:val="24"/>
          <w:szCs w:val="24"/>
          <w14:textFill>
            <w14:solidFill>
              <w14:schemeClr w14:val="tx1"/>
            </w14:solidFill>
          </w14:textFill>
        </w:rPr>
        <w:t>串通投标</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围标行为</w:t>
      </w:r>
      <w:r>
        <w:rPr>
          <w:rFonts w:hint="eastAsia" w:ascii="方正仿宋_GBK" w:hAnsi="方正仿宋_GBK" w:eastAsia="方正仿宋_GBK" w:cs="方正仿宋_GBK"/>
          <w:color w:val="000000" w:themeColor="text1"/>
          <w:sz w:val="24"/>
          <w:szCs w:val="24"/>
          <w14:textFill>
            <w14:solidFill>
              <w14:schemeClr w14:val="tx1"/>
            </w14:solidFill>
          </w14:textFill>
        </w:rPr>
        <w:t>的</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p>
    <w:p w14:paraId="45C1BC1B">
      <w:pPr>
        <w:pageBreakBefore w:val="0"/>
        <w:widowControl w:val="0"/>
        <w:kinsoku/>
        <w:wordWrap/>
        <w:overflowPunct/>
        <w:topLinePunct w:val="0"/>
        <w:autoSpaceDE/>
        <w:autoSpaceDN/>
        <w:bidi w:val="0"/>
        <w:snapToGrid w:val="0"/>
        <w:spacing w:line="360" w:lineRule="exact"/>
        <w:ind w:firstLine="480" w:firstLineChars="200"/>
        <w:textAlignment w:val="auto"/>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14</w:t>
      </w:r>
      <w:r>
        <w:rPr>
          <w:rFonts w:hint="eastAsia" w:ascii="方正仿宋_GBK" w:hAnsi="方正仿宋_GBK" w:eastAsia="方正仿宋_GBK" w:cs="方正仿宋_GBK"/>
          <w:color w:val="000000" w:themeColor="text1"/>
          <w:sz w:val="24"/>
          <w:szCs w:val="24"/>
          <w14:textFill>
            <w14:solidFill>
              <w14:schemeClr w14:val="tx1"/>
            </w14:solidFill>
          </w14:textFill>
        </w:rPr>
        <w:t>）法律、法规和招标文件规定的其他情形</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p>
    <w:p w14:paraId="5F08AB01">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缴纳方式：要求以转账方式从其基本银行账户支付至我院银行账户。</w:t>
      </w:r>
    </w:p>
    <w:p w14:paraId="6E65CE63">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我院银行账户信息如下：</w:t>
      </w:r>
    </w:p>
    <w:p w14:paraId="66C5F3B6">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户    名：</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重庆医科大学附属康复医院</w:t>
      </w:r>
    </w:p>
    <w:p w14:paraId="78A161E3">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银行账号：</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31820101040011318</w:t>
      </w:r>
    </w:p>
    <w:p w14:paraId="63EBF9AC">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开户银行：</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中国农业银行股份有限公司重庆石柱支行营业部</w:t>
      </w:r>
    </w:p>
    <w:p w14:paraId="3602306C">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特别说明：</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请各投标人对标书费或投标保证金按项目分别转账，并备注投标项目的名称、包号、标书费或投标保证金等关键信息；参与投标须提供缴纳投标保证金有效票据（投标人转账依据或我院财务科出具票据）。请各投标人自行考虑汇入时间风险，如同城汇入、异地汇入、跨行汇入的时间要求。</w:t>
      </w:r>
    </w:p>
    <w:p w14:paraId="6A9A7349">
      <w:pPr>
        <w:pageBreakBefore w:val="0"/>
        <w:widowControl w:val="0"/>
        <w:kinsoku/>
        <w:wordWrap/>
        <w:overflowPunct/>
        <w:topLinePunct w:val="0"/>
        <w:autoSpaceDE/>
        <w:autoSpaceDN/>
        <w:bidi w:val="0"/>
        <w:snapToGrid w:val="0"/>
        <w:spacing w:line="360" w:lineRule="exact"/>
        <w:ind w:firstLine="480"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2.</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响应文件提交：</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请于2026年9月18日 14：00- 14：30前送达重庆医科大学附属康复医院大公馆院区5号楼三楼会议室（龙腾大道·重庆市结核病防治所斜对面）</w:t>
      </w:r>
    </w:p>
    <w:p w14:paraId="3330B895">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3.</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谈判时间：</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2026年9月18日 14：30</w:t>
      </w:r>
    </w:p>
    <w:p w14:paraId="72B6A485">
      <w:pPr>
        <w:pageBreakBefore w:val="0"/>
        <w:widowControl w:val="0"/>
        <w:kinsoku/>
        <w:wordWrap/>
        <w:overflowPunct/>
        <w:topLinePunct w:val="0"/>
        <w:autoSpaceDE/>
        <w:autoSpaceDN/>
        <w:bidi w:val="0"/>
        <w:snapToGrid w:val="0"/>
        <w:spacing w:line="360" w:lineRule="exact"/>
        <w:ind w:firstLine="480"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4.</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谈判地点：</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重庆医科大学附属康复医院大公馆院区5号楼三楼会议室（龙腾大道·重庆市结核病防治所斜对面）</w:t>
      </w:r>
    </w:p>
    <w:p w14:paraId="2FC4E148">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5.</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联系人：</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招采办 陈老师   联系电话：023-61307208</w:t>
      </w:r>
    </w:p>
    <w:p w14:paraId="785FE61E">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6.本项目不接受联合体投标。</w:t>
      </w:r>
    </w:p>
    <w:p w14:paraId="15FDAFB9">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7.投标人按上述时间和要求提交报名资料（详见附件）发送至采购人陈老师邮箱：843996568@qq.com，采购人审核有效无误后，将第一时间发送本项目采购文件电子版至投标人报名接收邮箱，请注意查收。</w:t>
      </w:r>
    </w:p>
    <w:p w14:paraId="268DB97D">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8.投标人须将报名所需资料在本项目采购公告要求时间内发送至采购人指定邮箱，在公告要求时间外发送的报名邮件概不接收，为无效报名。</w:t>
      </w:r>
    </w:p>
    <w:p w14:paraId="50FDCF6D">
      <w:pPr>
        <w:snapToGrid w:val="0"/>
        <w:spacing w:line="400" w:lineRule="exact"/>
        <w:ind w:firstLine="480" w:firstLineChars="200"/>
        <w:jc w:val="right"/>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 xml:space="preserve"> </w:t>
      </w:r>
    </w:p>
    <w:p w14:paraId="53E8BBAF">
      <w:pPr>
        <w:adjustRightInd w:val="0"/>
        <w:snapToGrid w:val="0"/>
        <w:spacing w:line="360" w:lineRule="auto"/>
        <w:ind w:firstLine="482"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附件1：</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项目报名表（请按要求填写，自行下载）</w:t>
      </w:r>
    </w:p>
    <w:p w14:paraId="2A4C7FCE">
      <w:pPr>
        <w:adjustRightInd w:val="0"/>
        <w:snapToGrid w:val="0"/>
        <w:spacing w:line="360" w:lineRule="auto"/>
        <w:ind w:firstLine="482"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附件2：</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营业执照等复印件加盖公司鲜章扫描件（自行提供）</w:t>
      </w:r>
    </w:p>
    <w:p w14:paraId="77416578">
      <w:pPr>
        <w:adjustRightInd w:val="0"/>
        <w:snapToGrid w:val="0"/>
        <w:spacing w:line="360" w:lineRule="auto"/>
        <w:ind w:firstLine="482" w:firstLineChars="200"/>
        <w:rPr>
          <w:rFonts w:hint="default"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附件3：</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标书费转账凭证图片或扫描件（自行提供）</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1A24F4"/>
    <w:rsid w:val="013637D1"/>
    <w:rsid w:val="01457570"/>
    <w:rsid w:val="016025FC"/>
    <w:rsid w:val="01B666C0"/>
    <w:rsid w:val="02377801"/>
    <w:rsid w:val="02816CCE"/>
    <w:rsid w:val="028F59B7"/>
    <w:rsid w:val="02DA018C"/>
    <w:rsid w:val="03720092"/>
    <w:rsid w:val="038D51FF"/>
    <w:rsid w:val="03A367D0"/>
    <w:rsid w:val="03C74BB5"/>
    <w:rsid w:val="04C17856"/>
    <w:rsid w:val="04C42EA2"/>
    <w:rsid w:val="05340028"/>
    <w:rsid w:val="059720D3"/>
    <w:rsid w:val="05C80770"/>
    <w:rsid w:val="05EE467B"/>
    <w:rsid w:val="06500E91"/>
    <w:rsid w:val="06846D8D"/>
    <w:rsid w:val="068D4DE3"/>
    <w:rsid w:val="06BC6527"/>
    <w:rsid w:val="06DB44D3"/>
    <w:rsid w:val="075C73C2"/>
    <w:rsid w:val="077B0190"/>
    <w:rsid w:val="0854453D"/>
    <w:rsid w:val="08670714"/>
    <w:rsid w:val="086D0371"/>
    <w:rsid w:val="08B80F70"/>
    <w:rsid w:val="09572537"/>
    <w:rsid w:val="0963712E"/>
    <w:rsid w:val="098D41AA"/>
    <w:rsid w:val="099512B1"/>
    <w:rsid w:val="0A06795D"/>
    <w:rsid w:val="0A397E8E"/>
    <w:rsid w:val="0A40746F"/>
    <w:rsid w:val="0A856C30"/>
    <w:rsid w:val="0AA479FE"/>
    <w:rsid w:val="0ABF65E6"/>
    <w:rsid w:val="0AEA1189"/>
    <w:rsid w:val="0B301291"/>
    <w:rsid w:val="0BA23811"/>
    <w:rsid w:val="0BB35A1E"/>
    <w:rsid w:val="0C2F4969"/>
    <w:rsid w:val="0C590374"/>
    <w:rsid w:val="0C7E7DDA"/>
    <w:rsid w:val="0CB87790"/>
    <w:rsid w:val="0CBF0B1F"/>
    <w:rsid w:val="0CD619C5"/>
    <w:rsid w:val="0D156991"/>
    <w:rsid w:val="0DDA7292"/>
    <w:rsid w:val="0E6D6359"/>
    <w:rsid w:val="0EA93835"/>
    <w:rsid w:val="0EEF263A"/>
    <w:rsid w:val="0F1D7D7F"/>
    <w:rsid w:val="0F3375A2"/>
    <w:rsid w:val="0F692FC4"/>
    <w:rsid w:val="0FA45DAA"/>
    <w:rsid w:val="0FAB7138"/>
    <w:rsid w:val="0FDC19E8"/>
    <w:rsid w:val="10501A8E"/>
    <w:rsid w:val="10C5422A"/>
    <w:rsid w:val="10F33DE4"/>
    <w:rsid w:val="117D2D56"/>
    <w:rsid w:val="11CD7AC2"/>
    <w:rsid w:val="11F528ED"/>
    <w:rsid w:val="12015736"/>
    <w:rsid w:val="128B4FFF"/>
    <w:rsid w:val="130628D8"/>
    <w:rsid w:val="1324792E"/>
    <w:rsid w:val="13294F44"/>
    <w:rsid w:val="13477178"/>
    <w:rsid w:val="137912FC"/>
    <w:rsid w:val="13D12EE6"/>
    <w:rsid w:val="13FC4407"/>
    <w:rsid w:val="14D94748"/>
    <w:rsid w:val="14E82BDD"/>
    <w:rsid w:val="152A0AFF"/>
    <w:rsid w:val="15B71A60"/>
    <w:rsid w:val="15FF1F8C"/>
    <w:rsid w:val="166F40AA"/>
    <w:rsid w:val="16933115"/>
    <w:rsid w:val="17CA481C"/>
    <w:rsid w:val="17D95D62"/>
    <w:rsid w:val="18047D2E"/>
    <w:rsid w:val="18A84B5D"/>
    <w:rsid w:val="18EB2C9C"/>
    <w:rsid w:val="192D0BBE"/>
    <w:rsid w:val="19704F75"/>
    <w:rsid w:val="19AC5F87"/>
    <w:rsid w:val="19CB2271"/>
    <w:rsid w:val="1A7D3DC7"/>
    <w:rsid w:val="1AB05F4B"/>
    <w:rsid w:val="1AB84DFF"/>
    <w:rsid w:val="1ACB068F"/>
    <w:rsid w:val="1ADA2FC8"/>
    <w:rsid w:val="1AF04599"/>
    <w:rsid w:val="1AF23E6D"/>
    <w:rsid w:val="1AFF658A"/>
    <w:rsid w:val="1BAF6202"/>
    <w:rsid w:val="1BB47375"/>
    <w:rsid w:val="1BF96362"/>
    <w:rsid w:val="1C316C17"/>
    <w:rsid w:val="1C362480"/>
    <w:rsid w:val="1CA4388D"/>
    <w:rsid w:val="1CEB6DC6"/>
    <w:rsid w:val="1CEE68B6"/>
    <w:rsid w:val="1D2D73DF"/>
    <w:rsid w:val="1D350989"/>
    <w:rsid w:val="1E9C661C"/>
    <w:rsid w:val="1EDC730E"/>
    <w:rsid w:val="1F0E3240"/>
    <w:rsid w:val="1F3E1D77"/>
    <w:rsid w:val="1F6317DE"/>
    <w:rsid w:val="1FD77AD6"/>
    <w:rsid w:val="20AA343C"/>
    <w:rsid w:val="21380A48"/>
    <w:rsid w:val="21420657"/>
    <w:rsid w:val="21BE0F4D"/>
    <w:rsid w:val="21F11323"/>
    <w:rsid w:val="2322375E"/>
    <w:rsid w:val="245A2A83"/>
    <w:rsid w:val="245C67FB"/>
    <w:rsid w:val="251946ED"/>
    <w:rsid w:val="255816B9"/>
    <w:rsid w:val="25754019"/>
    <w:rsid w:val="258E0C37"/>
    <w:rsid w:val="25952851"/>
    <w:rsid w:val="25BC1DD6"/>
    <w:rsid w:val="25E82A3D"/>
    <w:rsid w:val="26922965"/>
    <w:rsid w:val="26B7240F"/>
    <w:rsid w:val="26C62652"/>
    <w:rsid w:val="274C6FFB"/>
    <w:rsid w:val="275E288B"/>
    <w:rsid w:val="27673E35"/>
    <w:rsid w:val="276A122F"/>
    <w:rsid w:val="28414686"/>
    <w:rsid w:val="285000AC"/>
    <w:rsid w:val="291122AA"/>
    <w:rsid w:val="29891E41"/>
    <w:rsid w:val="2A2658E2"/>
    <w:rsid w:val="2A506E02"/>
    <w:rsid w:val="2AD96DF8"/>
    <w:rsid w:val="2AE90244"/>
    <w:rsid w:val="2C7548FE"/>
    <w:rsid w:val="2C9A6F3E"/>
    <w:rsid w:val="2CF241A1"/>
    <w:rsid w:val="2E4A5917"/>
    <w:rsid w:val="2EB77450"/>
    <w:rsid w:val="2FF41FDE"/>
    <w:rsid w:val="303D3985"/>
    <w:rsid w:val="3078676B"/>
    <w:rsid w:val="30F60495"/>
    <w:rsid w:val="31232B7B"/>
    <w:rsid w:val="313E5C07"/>
    <w:rsid w:val="31745184"/>
    <w:rsid w:val="31A11CF2"/>
    <w:rsid w:val="31A16195"/>
    <w:rsid w:val="325B00F2"/>
    <w:rsid w:val="3421711A"/>
    <w:rsid w:val="345D2848"/>
    <w:rsid w:val="34897199"/>
    <w:rsid w:val="34983880"/>
    <w:rsid w:val="34BD5094"/>
    <w:rsid w:val="35325A82"/>
    <w:rsid w:val="3555351F"/>
    <w:rsid w:val="35645510"/>
    <w:rsid w:val="358D0F0B"/>
    <w:rsid w:val="361E6007"/>
    <w:rsid w:val="366003CD"/>
    <w:rsid w:val="36A302BA"/>
    <w:rsid w:val="37076A9B"/>
    <w:rsid w:val="371B42F4"/>
    <w:rsid w:val="37362EDC"/>
    <w:rsid w:val="38233460"/>
    <w:rsid w:val="38E250CA"/>
    <w:rsid w:val="3A4D2A17"/>
    <w:rsid w:val="3A8D5509"/>
    <w:rsid w:val="3A9248CD"/>
    <w:rsid w:val="3AD35612"/>
    <w:rsid w:val="3B903503"/>
    <w:rsid w:val="3B9A7E9A"/>
    <w:rsid w:val="3BB52F69"/>
    <w:rsid w:val="3BBA232E"/>
    <w:rsid w:val="3C011D0B"/>
    <w:rsid w:val="3DA27781"/>
    <w:rsid w:val="3DAC5CA6"/>
    <w:rsid w:val="3DCF3A3B"/>
    <w:rsid w:val="3DE74F30"/>
    <w:rsid w:val="3E0B0C1F"/>
    <w:rsid w:val="3F626F64"/>
    <w:rsid w:val="407927B7"/>
    <w:rsid w:val="408B24EB"/>
    <w:rsid w:val="40A62E81"/>
    <w:rsid w:val="40AE7F87"/>
    <w:rsid w:val="40B97058"/>
    <w:rsid w:val="40E02836"/>
    <w:rsid w:val="412D5350"/>
    <w:rsid w:val="41643D94"/>
    <w:rsid w:val="416A65A4"/>
    <w:rsid w:val="417C50FB"/>
    <w:rsid w:val="419B06AD"/>
    <w:rsid w:val="41E719A3"/>
    <w:rsid w:val="4255690C"/>
    <w:rsid w:val="42607D38"/>
    <w:rsid w:val="42AD6748"/>
    <w:rsid w:val="435D1690"/>
    <w:rsid w:val="436D5ED7"/>
    <w:rsid w:val="43E22422"/>
    <w:rsid w:val="4475773A"/>
    <w:rsid w:val="44A15B54"/>
    <w:rsid w:val="44A65B45"/>
    <w:rsid w:val="45330DC3"/>
    <w:rsid w:val="45FC3543"/>
    <w:rsid w:val="463D4287"/>
    <w:rsid w:val="46D83FB0"/>
    <w:rsid w:val="46F32B98"/>
    <w:rsid w:val="47F95F8C"/>
    <w:rsid w:val="48256D81"/>
    <w:rsid w:val="49557B3A"/>
    <w:rsid w:val="49635DB3"/>
    <w:rsid w:val="49677465"/>
    <w:rsid w:val="49F509D5"/>
    <w:rsid w:val="4A2319E6"/>
    <w:rsid w:val="4A8A55C1"/>
    <w:rsid w:val="4AFB201B"/>
    <w:rsid w:val="4B02784D"/>
    <w:rsid w:val="4B3E0E6C"/>
    <w:rsid w:val="4B5300A9"/>
    <w:rsid w:val="4B72052F"/>
    <w:rsid w:val="4B840262"/>
    <w:rsid w:val="4B9A34BB"/>
    <w:rsid w:val="4BC32B39"/>
    <w:rsid w:val="4BCF3BD3"/>
    <w:rsid w:val="4BD25472"/>
    <w:rsid w:val="4BE13907"/>
    <w:rsid w:val="4C0513A3"/>
    <w:rsid w:val="4C115F9A"/>
    <w:rsid w:val="4CA3296A"/>
    <w:rsid w:val="4D3D2DBF"/>
    <w:rsid w:val="4D455366"/>
    <w:rsid w:val="4E4361B3"/>
    <w:rsid w:val="4E473EF5"/>
    <w:rsid w:val="4E7418D9"/>
    <w:rsid w:val="4ECF7A46"/>
    <w:rsid w:val="4F6E3703"/>
    <w:rsid w:val="4FA62E9D"/>
    <w:rsid w:val="504601DC"/>
    <w:rsid w:val="5055041F"/>
    <w:rsid w:val="509C604E"/>
    <w:rsid w:val="50C835BA"/>
    <w:rsid w:val="50EC0D83"/>
    <w:rsid w:val="51CC5C45"/>
    <w:rsid w:val="51D13AD5"/>
    <w:rsid w:val="520143BB"/>
    <w:rsid w:val="52AA2CA4"/>
    <w:rsid w:val="536A5F90"/>
    <w:rsid w:val="54352A41"/>
    <w:rsid w:val="552D350A"/>
    <w:rsid w:val="55773A5E"/>
    <w:rsid w:val="55853555"/>
    <w:rsid w:val="561F3061"/>
    <w:rsid w:val="567F7FA4"/>
    <w:rsid w:val="570C5CDB"/>
    <w:rsid w:val="577E025B"/>
    <w:rsid w:val="579B705F"/>
    <w:rsid w:val="57CF18D5"/>
    <w:rsid w:val="57EE3633"/>
    <w:rsid w:val="586438F5"/>
    <w:rsid w:val="58F509F1"/>
    <w:rsid w:val="5A7122F9"/>
    <w:rsid w:val="5ABD553F"/>
    <w:rsid w:val="5ADC7773"/>
    <w:rsid w:val="5AE259EE"/>
    <w:rsid w:val="5AEE74A6"/>
    <w:rsid w:val="5B21162A"/>
    <w:rsid w:val="5B5B0FE0"/>
    <w:rsid w:val="5BC326E1"/>
    <w:rsid w:val="5BE30FD5"/>
    <w:rsid w:val="5BF44F90"/>
    <w:rsid w:val="5BF64864"/>
    <w:rsid w:val="5C115B42"/>
    <w:rsid w:val="5C28615A"/>
    <w:rsid w:val="5C9F6CAA"/>
    <w:rsid w:val="5CB87D6C"/>
    <w:rsid w:val="5CC826A5"/>
    <w:rsid w:val="5CF1327E"/>
    <w:rsid w:val="5D0D6309"/>
    <w:rsid w:val="5D0E2082"/>
    <w:rsid w:val="5D347D3A"/>
    <w:rsid w:val="5DEA664B"/>
    <w:rsid w:val="5DFE58E1"/>
    <w:rsid w:val="5E3E0745"/>
    <w:rsid w:val="5EE02DC9"/>
    <w:rsid w:val="5F3202A9"/>
    <w:rsid w:val="5FC66C44"/>
    <w:rsid w:val="5FCA6734"/>
    <w:rsid w:val="607B5C80"/>
    <w:rsid w:val="618B3CA1"/>
    <w:rsid w:val="63387E58"/>
    <w:rsid w:val="63750765"/>
    <w:rsid w:val="6441217E"/>
    <w:rsid w:val="64524F4A"/>
    <w:rsid w:val="65293EFC"/>
    <w:rsid w:val="65363F24"/>
    <w:rsid w:val="654C7BEB"/>
    <w:rsid w:val="65674A25"/>
    <w:rsid w:val="65D06126"/>
    <w:rsid w:val="65D2213C"/>
    <w:rsid w:val="66974E96"/>
    <w:rsid w:val="670C5884"/>
    <w:rsid w:val="671F55B7"/>
    <w:rsid w:val="67BD26DA"/>
    <w:rsid w:val="68010AE0"/>
    <w:rsid w:val="6821710D"/>
    <w:rsid w:val="68582403"/>
    <w:rsid w:val="69C53AC8"/>
    <w:rsid w:val="6AA9312D"/>
    <w:rsid w:val="6B767770"/>
    <w:rsid w:val="6BB9765C"/>
    <w:rsid w:val="6C111246"/>
    <w:rsid w:val="6C445178"/>
    <w:rsid w:val="6C635F46"/>
    <w:rsid w:val="6C7041BF"/>
    <w:rsid w:val="6CD24E7A"/>
    <w:rsid w:val="6CEB5F3B"/>
    <w:rsid w:val="6E182D60"/>
    <w:rsid w:val="6E3851B0"/>
    <w:rsid w:val="6E5972F9"/>
    <w:rsid w:val="6E5B2C4D"/>
    <w:rsid w:val="6F2A2D4B"/>
    <w:rsid w:val="6F4934A7"/>
    <w:rsid w:val="6F881820"/>
    <w:rsid w:val="6FEB0909"/>
    <w:rsid w:val="70360EFA"/>
    <w:rsid w:val="70384FF4"/>
    <w:rsid w:val="70A00DEB"/>
    <w:rsid w:val="70AD3C34"/>
    <w:rsid w:val="70DC1E23"/>
    <w:rsid w:val="71394DF1"/>
    <w:rsid w:val="71F96A05"/>
    <w:rsid w:val="71FE04BF"/>
    <w:rsid w:val="72343EE1"/>
    <w:rsid w:val="72B56DCF"/>
    <w:rsid w:val="72BF37AA"/>
    <w:rsid w:val="730B55B1"/>
    <w:rsid w:val="73497518"/>
    <w:rsid w:val="737E18B7"/>
    <w:rsid w:val="7392524F"/>
    <w:rsid w:val="73944C37"/>
    <w:rsid w:val="73AF7CC3"/>
    <w:rsid w:val="73EB05CF"/>
    <w:rsid w:val="75412B9C"/>
    <w:rsid w:val="766C2B27"/>
    <w:rsid w:val="766F54E7"/>
    <w:rsid w:val="76DA32A9"/>
    <w:rsid w:val="76E45ED5"/>
    <w:rsid w:val="770245AD"/>
    <w:rsid w:val="77A64F39"/>
    <w:rsid w:val="77B16BC4"/>
    <w:rsid w:val="782C7B34"/>
    <w:rsid w:val="784F3822"/>
    <w:rsid w:val="79030169"/>
    <w:rsid w:val="7924080B"/>
    <w:rsid w:val="79764918"/>
    <w:rsid w:val="7AE244DA"/>
    <w:rsid w:val="7BFF78DB"/>
    <w:rsid w:val="7C23124E"/>
    <w:rsid w:val="7CAC1243"/>
    <w:rsid w:val="7CCD740C"/>
    <w:rsid w:val="7D60202E"/>
    <w:rsid w:val="7D9F2B22"/>
    <w:rsid w:val="7DFC1D56"/>
    <w:rsid w:val="7E0B01EB"/>
    <w:rsid w:val="7E553215"/>
    <w:rsid w:val="7F710522"/>
    <w:rsid w:val="7FF32C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tabs>
        <w:tab w:val="left" w:pos="3360"/>
      </w:tabs>
      <w:snapToGrid w:val="0"/>
      <w:spacing w:beforeLines="100" w:afterLines="50" w:line="800" w:lineRule="atLeast"/>
      <w:jc w:val="center"/>
      <w:outlineLvl w:val="0"/>
    </w:pPr>
    <w:rPr>
      <w:rFonts w:eastAsia="黑体"/>
      <w:sz w:val="44"/>
    </w:rPr>
  </w:style>
  <w:style w:type="paragraph" w:styleId="4">
    <w:name w:val="heading 2"/>
    <w:basedOn w:val="1"/>
    <w:next w:val="1"/>
    <w:qFormat/>
    <w:uiPriority w:val="0"/>
    <w:pPr>
      <w:keepNext/>
      <w:keepLines/>
      <w:spacing w:line="440" w:lineRule="exact"/>
      <w:jc w:val="center"/>
      <w:outlineLvl w:val="1"/>
    </w:pPr>
    <w:rPr>
      <w:rFonts w:ascii="仿宋_GB2312" w:hAnsi="Arial" w:eastAsia="仿宋_GB2312"/>
      <w:b/>
      <w:sz w:val="2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rFonts w:ascii="仿宋_GB2312" w:eastAsia="仿宋_GB2312"/>
      <w:sz w:val="32"/>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6">
    <w:name w:val="Body Text First Indent"/>
    <w:basedOn w:val="2"/>
    <w:qFormat/>
    <w:uiPriority w:val="0"/>
    <w:pPr>
      <w:spacing w:line="360" w:lineRule="auto"/>
      <w:ind w:firstLine="420"/>
    </w:pPr>
    <w:rPr>
      <w:rFonts w:ascii="宋体" w:hAnsi="宋体"/>
      <w:sz w:val="24"/>
    </w:rPr>
  </w:style>
  <w:style w:type="character" w:customStyle="1" w:styleId="9">
    <w:name w:val="NormalCharacter"/>
    <w:semiHidden/>
    <w:qFormat/>
    <w:uiPriority w:val="0"/>
    <w:rPr>
      <w:rFonts w:ascii="Verdana" w:hAnsi="Verdana" w:eastAsia="仿宋_GB2312"/>
      <w:sz w:val="24"/>
      <w:lang w:val="en-US" w:eastAsia="en-US" w:bidi="ar-SA"/>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1186</Words>
  <Characters>1255</Characters>
  <Lines>0</Lines>
  <Paragraphs>0</Paragraphs>
  <TotalTime>4</TotalTime>
  <ScaleCrop>false</ScaleCrop>
  <LinksUpToDate>false</LinksUpToDate>
  <CharactersWithSpaces>1256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2025-10-22T10:27:00Z</dcterms:created>
  <dc:creator>Administrator</dc:creator>
  <cp:lastModifiedBy>陈瑞林</cp:lastModifiedBy>
  <dcterms:modified xsi:type="dcterms:W3CDTF">2026-09-15T00:36:14Z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eyJoZGlkIjoiMjEwZTk0M2Y5YjMzNGVhZjViYjFhMmVhM2Y3YzVjNDIiLCJ1c2VySWQiOiIxNTY5OTAxMDkyIn0=</vt:lpwstr>
  </property>
  <property fmtid="{D5CDD505-2E9C-101B-9397-08002B2CF9AE}" pid="4" name="ICV">
    <vt:lpwstr>3116790BB29143769C3A7452F4900118_12</vt:lpwstr>
  </property>
</Properties>
</file>